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AC90C" w14:textId="5D4FC365" w:rsidR="00D51C3E" w:rsidRDefault="00D51C3E">
      <w:pPr>
        <w:rPr>
          <w:lang w:val="en-US"/>
        </w:rPr>
      </w:pPr>
    </w:p>
    <w:p w14:paraId="7DAFB1DD" w14:textId="77777777" w:rsidR="00044886" w:rsidRDefault="00044886">
      <w:pPr>
        <w:rPr>
          <w:lang w:val="en-US"/>
        </w:rPr>
      </w:pPr>
    </w:p>
    <w:p w14:paraId="5DC71336" w14:textId="77777777" w:rsidR="00BC13F3" w:rsidRDefault="00BC13F3">
      <w:pPr>
        <w:rPr>
          <w:lang w:val="en-US"/>
        </w:rPr>
      </w:pPr>
    </w:p>
    <w:p w14:paraId="3938E652" w14:textId="45F750A9" w:rsidR="00BC13F3" w:rsidRPr="004679FD" w:rsidRDefault="00BC13F3">
      <w:pPr>
        <w:rPr>
          <w:lang w:val="en-US"/>
        </w:rPr>
      </w:pPr>
      <w:r w:rsidRPr="004679FD">
        <w:rPr>
          <w:noProof/>
          <w:lang w:val="en-US" w:eastAsia="ru-RU"/>
        </w:rPr>
        <w:drawing>
          <wp:anchor distT="0" distB="0" distL="114300" distR="114300" simplePos="0" relativeHeight="251659264" behindDoc="1" locked="0" layoutInCell="1" allowOverlap="1" wp14:anchorId="3BDE4121" wp14:editId="587571BE">
            <wp:simplePos x="0" y="0"/>
            <wp:positionH relativeFrom="page">
              <wp:posOffset>0</wp:posOffset>
            </wp:positionH>
            <wp:positionV relativeFrom="page">
              <wp:posOffset>-67945</wp:posOffset>
            </wp:positionV>
            <wp:extent cx="7559675" cy="1889760"/>
            <wp:effectExtent l="0" t="0" r="952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er\Desktop\blank\Blank letter_01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89A40" w14:textId="77777777" w:rsidR="00BC13F3" w:rsidRPr="004679FD" w:rsidRDefault="00BC13F3">
      <w:pPr>
        <w:rPr>
          <w:lang w:val="en-US"/>
        </w:rPr>
      </w:pPr>
    </w:p>
    <w:p w14:paraId="34726783" w14:textId="77777777" w:rsidR="00BC13F3" w:rsidRPr="004679FD" w:rsidRDefault="00BC13F3">
      <w:pPr>
        <w:rPr>
          <w:lang w:val="en-US"/>
        </w:rPr>
      </w:pPr>
    </w:p>
    <w:p w14:paraId="55AF77D2" w14:textId="77777777" w:rsidR="00CD0502" w:rsidRPr="004679FD" w:rsidRDefault="00CD0502">
      <w:pPr>
        <w:rPr>
          <w:lang w:val="en-US"/>
        </w:rPr>
      </w:pPr>
    </w:p>
    <w:p w14:paraId="422FBC7B" w14:textId="77777777" w:rsidR="00BC13F3" w:rsidRPr="004679FD" w:rsidRDefault="00BC13F3">
      <w:pPr>
        <w:rPr>
          <w:lang w:val="en-US"/>
        </w:rPr>
      </w:pPr>
    </w:p>
    <w:tbl>
      <w:tblPr>
        <w:tblStyle w:val="a6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547"/>
        <w:gridCol w:w="7342"/>
      </w:tblGrid>
      <w:tr w:rsidR="00044886" w:rsidRPr="004679FD" w14:paraId="393A7A19" w14:textId="77777777" w:rsidTr="005C7D3B">
        <w:tc>
          <w:tcPr>
            <w:tcW w:w="9889" w:type="dxa"/>
            <w:gridSpan w:val="2"/>
          </w:tcPr>
          <w:p w14:paraId="46AE6F43" w14:textId="77777777" w:rsidR="00044886" w:rsidRPr="004679FD" w:rsidRDefault="00044886" w:rsidP="00BC13F3">
            <w:pPr>
              <w:jc w:val="center"/>
              <w:rPr>
                <w:sz w:val="24"/>
                <w:szCs w:val="24"/>
                <w:u w:val="single"/>
              </w:rPr>
            </w:pPr>
            <w:r w:rsidRPr="004679FD">
              <w:rPr>
                <w:sz w:val="24"/>
                <w:szCs w:val="24"/>
                <w:u w:val="single"/>
              </w:rPr>
              <w:t>Вторник, 29 марта 2016 года</w:t>
            </w:r>
          </w:p>
          <w:p w14:paraId="15071840" w14:textId="77777777" w:rsidR="00044886" w:rsidRPr="004679FD" w:rsidRDefault="00044886" w:rsidP="00BC13F3">
            <w:pPr>
              <w:jc w:val="center"/>
              <w:rPr>
                <w:b/>
                <w:sz w:val="24"/>
                <w:szCs w:val="24"/>
              </w:rPr>
            </w:pPr>
            <w:r w:rsidRPr="004679FD">
              <w:rPr>
                <w:b/>
                <w:sz w:val="24"/>
                <w:szCs w:val="24"/>
              </w:rPr>
              <w:t>ПЕРВЫЙ ДЕНЬ ФОРУМА</w:t>
            </w:r>
          </w:p>
          <w:p w14:paraId="6EB1E210" w14:textId="3C5E9F03" w:rsidR="00BC13F3" w:rsidRPr="004679FD" w:rsidRDefault="00BC13F3" w:rsidP="00BC13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4886" w:rsidRPr="004679FD" w14:paraId="57141BA9" w14:textId="77777777" w:rsidTr="005C7D3B">
        <w:trPr>
          <w:trHeight w:val="415"/>
        </w:trPr>
        <w:tc>
          <w:tcPr>
            <w:tcW w:w="2547" w:type="dxa"/>
          </w:tcPr>
          <w:p w14:paraId="136AD558" w14:textId="77777777" w:rsidR="00044886" w:rsidRPr="004679FD" w:rsidRDefault="00044886" w:rsidP="005C7D3B">
            <w:pPr>
              <w:rPr>
                <w:sz w:val="24"/>
                <w:szCs w:val="24"/>
                <w:shd w:val="clear" w:color="auto" w:fill="FFFFFF"/>
              </w:rPr>
            </w:pPr>
            <w:r w:rsidRPr="004679FD">
              <w:rPr>
                <w:sz w:val="24"/>
                <w:szCs w:val="24"/>
                <w:shd w:val="clear" w:color="auto" w:fill="FFFFFF"/>
              </w:rPr>
              <w:t>9:00 – 10:00</w:t>
            </w:r>
          </w:p>
        </w:tc>
        <w:tc>
          <w:tcPr>
            <w:tcW w:w="7342" w:type="dxa"/>
          </w:tcPr>
          <w:p w14:paraId="048756A8" w14:textId="77777777" w:rsidR="00044886" w:rsidRPr="004679FD" w:rsidRDefault="00044886" w:rsidP="005C7D3B">
            <w:pPr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Регистрация, утренний кофе.</w:t>
            </w:r>
          </w:p>
        </w:tc>
      </w:tr>
      <w:tr w:rsidR="00044886" w:rsidRPr="004679FD" w14:paraId="1BCB4C75" w14:textId="77777777" w:rsidTr="00C3107C">
        <w:trPr>
          <w:trHeight w:val="1124"/>
        </w:trPr>
        <w:tc>
          <w:tcPr>
            <w:tcW w:w="2547" w:type="dxa"/>
          </w:tcPr>
          <w:p w14:paraId="3975F7D0" w14:textId="77777777" w:rsidR="00044886" w:rsidRPr="004679FD" w:rsidRDefault="00044886" w:rsidP="005C7D3B">
            <w:pPr>
              <w:rPr>
                <w:sz w:val="24"/>
                <w:szCs w:val="24"/>
                <w:shd w:val="clear" w:color="auto" w:fill="FFFFFF"/>
              </w:rPr>
            </w:pPr>
            <w:r w:rsidRPr="004679FD">
              <w:rPr>
                <w:sz w:val="24"/>
                <w:szCs w:val="24"/>
                <w:shd w:val="clear" w:color="auto" w:fill="FFFFFF"/>
              </w:rPr>
              <w:t xml:space="preserve">10:00 – 12:00 </w:t>
            </w:r>
          </w:p>
          <w:p w14:paraId="7DB0C318" w14:textId="77777777" w:rsidR="00044886" w:rsidRPr="004679FD" w:rsidRDefault="00044886" w:rsidP="005C7D3B">
            <w:pPr>
              <w:rPr>
                <w:b/>
                <w:sz w:val="24"/>
                <w:szCs w:val="24"/>
              </w:rPr>
            </w:pPr>
            <w:r w:rsidRPr="004679FD">
              <w:rPr>
                <w:sz w:val="24"/>
                <w:szCs w:val="24"/>
                <w:shd w:val="clear" w:color="auto" w:fill="FFFFFF"/>
              </w:rPr>
              <w:t>Большой зал</w:t>
            </w:r>
          </w:p>
        </w:tc>
        <w:tc>
          <w:tcPr>
            <w:tcW w:w="7342" w:type="dxa"/>
          </w:tcPr>
          <w:p w14:paraId="01397C70" w14:textId="77777777" w:rsidR="00044886" w:rsidRPr="004679FD" w:rsidRDefault="00044886" w:rsidP="005C7D3B">
            <w:pPr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Пленарное заседание</w:t>
            </w:r>
          </w:p>
          <w:p w14:paraId="0C4BEC6F" w14:textId="77777777" w:rsidR="00C3107C" w:rsidRPr="00AC5C3F" w:rsidRDefault="00C3107C" w:rsidP="00C3107C">
            <w:pPr>
              <w:rPr>
                <w:b/>
                <w:sz w:val="24"/>
                <w:szCs w:val="24"/>
              </w:rPr>
            </w:pPr>
            <w:r w:rsidRPr="00AC5C3F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Инфраструктурные проекты России</w:t>
            </w:r>
            <w:r w:rsidRPr="00AC5C3F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новые вызовы</w:t>
            </w:r>
            <w:r w:rsidRPr="00AC5C3F">
              <w:rPr>
                <w:b/>
                <w:sz w:val="24"/>
                <w:szCs w:val="24"/>
              </w:rPr>
              <w:t>»</w:t>
            </w:r>
          </w:p>
          <w:p w14:paraId="718F26AA" w14:textId="10E57FC4" w:rsidR="00BC13F3" w:rsidRPr="00C55E70" w:rsidRDefault="00C3107C" w:rsidP="00C55E70">
            <w:pPr>
              <w:widowControl w:val="0"/>
              <w:autoSpaceDE w:val="0"/>
              <w:autoSpaceDN w:val="0"/>
              <w:adjustRightInd w:val="0"/>
              <w:spacing w:after="240"/>
              <w:ind w:firstLine="720"/>
              <w:jc w:val="both"/>
              <w:rPr>
                <w:rFonts w:ascii="Helvetica" w:hAnsi="Helvetica" w:cs="Helvetica"/>
                <w:sz w:val="24"/>
                <w:szCs w:val="24"/>
                <w:bdr w:val="none" w:sz="0" w:space="0" w:color="auto"/>
                <w:lang w:val="en-US"/>
              </w:rPr>
            </w:pP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На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сегодняшний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день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одним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из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ключевых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вопросов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инфраструктурного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рынка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России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является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качество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подготовки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структурирования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проектов –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привлекая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частные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инвестиции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компетенции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необходимо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также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решать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задачу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обеспечения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бюджетной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эффективности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от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реализации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проектов.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Не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смотря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на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сложившуюся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положительную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практику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на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рынке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проектов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государственно-частного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партнерства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появляются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прецеденты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когда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из-за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недостаточной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проработки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проекта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, ГЧП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применяется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там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где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эффективнее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был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бы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классический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государственный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заказ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или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ввиду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ограниченных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компетенций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публичный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партнер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принимает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условия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соглашения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при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которых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все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риски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проекта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ложатся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на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бюджет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Поэтому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сегодня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как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никогда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важен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поиск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баланса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грамотное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распределение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рисков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при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которых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обеспечивая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эффективность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расходования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бюджетных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средств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, в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инфраструктурные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проекты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будут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приходить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надежные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частные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партнеры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готовые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участвовать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долгосрочных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проектах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с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государством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созданию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управлению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объектами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здравоохранения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образования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bdr w:val="none" w:sz="0" w:space="0" w:color="auto"/>
                <w:lang w:val="en-US"/>
              </w:rPr>
              <w:t>транспорта</w:t>
            </w:r>
            <w:proofErr w:type="spellEnd"/>
            <w:r>
              <w:rPr>
                <w:sz w:val="24"/>
                <w:szCs w:val="24"/>
                <w:bdr w:val="none" w:sz="0" w:space="0" w:color="auto"/>
                <w:lang w:val="en-US"/>
              </w:rPr>
              <w:t xml:space="preserve"> и ЖКХ.</w:t>
            </w:r>
          </w:p>
        </w:tc>
      </w:tr>
    </w:tbl>
    <w:p w14:paraId="28E5C5A0" w14:textId="0A6C77B2" w:rsidR="00B00099" w:rsidRDefault="00B00099"/>
    <w:tbl>
      <w:tblPr>
        <w:tblStyle w:val="a6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547"/>
        <w:gridCol w:w="7342"/>
      </w:tblGrid>
      <w:tr w:rsidR="00044886" w:rsidRPr="004679FD" w14:paraId="3D490976" w14:textId="77777777" w:rsidTr="005C7D3B">
        <w:tc>
          <w:tcPr>
            <w:tcW w:w="2547" w:type="dxa"/>
          </w:tcPr>
          <w:p w14:paraId="6140F25A" w14:textId="10AF1C85" w:rsidR="00044886" w:rsidRPr="004679FD" w:rsidRDefault="00044886" w:rsidP="005C7D3B">
            <w:pPr>
              <w:rPr>
                <w:sz w:val="24"/>
                <w:szCs w:val="24"/>
                <w:shd w:val="clear" w:color="auto" w:fill="FFFFFF"/>
              </w:rPr>
            </w:pPr>
            <w:r w:rsidRPr="004679FD">
              <w:rPr>
                <w:sz w:val="24"/>
                <w:szCs w:val="24"/>
                <w:shd w:val="clear" w:color="auto" w:fill="FFFFFF"/>
              </w:rPr>
              <w:t>12:00 – 12:30</w:t>
            </w:r>
          </w:p>
        </w:tc>
        <w:tc>
          <w:tcPr>
            <w:tcW w:w="7342" w:type="dxa"/>
          </w:tcPr>
          <w:p w14:paraId="139E5C56" w14:textId="4C3A00C7" w:rsidR="00BC13F3" w:rsidRPr="004679FD" w:rsidRDefault="00044886" w:rsidP="005C7D3B">
            <w:pPr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Кофе-брейк</w:t>
            </w:r>
          </w:p>
        </w:tc>
      </w:tr>
      <w:tr w:rsidR="00BC13F3" w:rsidRPr="004679FD" w14:paraId="661E00E5" w14:textId="77777777" w:rsidTr="005C7D3B">
        <w:tc>
          <w:tcPr>
            <w:tcW w:w="2547" w:type="dxa"/>
          </w:tcPr>
          <w:p w14:paraId="638BA110" w14:textId="6D351057" w:rsidR="00BC13F3" w:rsidRPr="004679FD" w:rsidRDefault="00BC13F3" w:rsidP="00BC13F3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12:30 – 14:30</w:t>
            </w:r>
          </w:p>
          <w:p w14:paraId="79BB88CA" w14:textId="292391F8" w:rsidR="00BC13F3" w:rsidRPr="004679FD" w:rsidRDefault="00BC13F3" w:rsidP="00BC13F3">
            <w:pPr>
              <w:rPr>
                <w:sz w:val="24"/>
                <w:szCs w:val="24"/>
                <w:shd w:val="clear" w:color="auto" w:fill="FFFFFF"/>
              </w:rPr>
            </w:pPr>
            <w:r w:rsidRPr="004679FD">
              <w:rPr>
                <w:sz w:val="24"/>
                <w:szCs w:val="24"/>
              </w:rPr>
              <w:t>Большой зал</w:t>
            </w:r>
          </w:p>
        </w:tc>
        <w:tc>
          <w:tcPr>
            <w:tcW w:w="7342" w:type="dxa"/>
          </w:tcPr>
          <w:p w14:paraId="15B268DA" w14:textId="77777777" w:rsidR="00BC13F3" w:rsidRPr="004679FD" w:rsidRDefault="00BC13F3" w:rsidP="00BC13F3">
            <w:pPr>
              <w:rPr>
                <w:sz w:val="24"/>
                <w:szCs w:val="24"/>
                <w:u w:val="single"/>
              </w:rPr>
            </w:pPr>
            <w:r w:rsidRPr="004679FD">
              <w:rPr>
                <w:sz w:val="24"/>
                <w:szCs w:val="24"/>
                <w:u w:val="single"/>
              </w:rPr>
              <w:t xml:space="preserve">Презентационная сессия </w:t>
            </w:r>
          </w:p>
          <w:p w14:paraId="786D3CD9" w14:textId="77777777" w:rsidR="00BC13F3" w:rsidRPr="004679FD" w:rsidRDefault="00BC13F3" w:rsidP="00BC13F3">
            <w:pPr>
              <w:rPr>
                <w:b/>
                <w:sz w:val="24"/>
                <w:szCs w:val="24"/>
              </w:rPr>
            </w:pPr>
            <w:r w:rsidRPr="004679FD">
              <w:rPr>
                <w:b/>
                <w:sz w:val="24"/>
                <w:szCs w:val="24"/>
              </w:rPr>
              <w:t>«Рейтинг регионов 2016: Лучшие практики управления сферой ГЧП»</w:t>
            </w:r>
          </w:p>
          <w:p w14:paraId="11C43FE1" w14:textId="77777777" w:rsidR="00BC13F3" w:rsidRPr="004679FD" w:rsidRDefault="00BC13F3" w:rsidP="00BC13F3">
            <w:pPr>
              <w:jc w:val="both"/>
              <w:rPr>
                <w:b/>
                <w:sz w:val="24"/>
                <w:szCs w:val="24"/>
              </w:rPr>
            </w:pPr>
          </w:p>
          <w:p w14:paraId="0FC725CC" w14:textId="6A0EB503" w:rsidR="00B15A31" w:rsidRPr="004679FD" w:rsidRDefault="00B15A31" w:rsidP="00B15A31">
            <w:pPr>
              <w:ind w:firstLine="720"/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Традиционно в рамках Российской недели ГЧП подводятся итоги Рейтинга регионов по уровню развития ГЧП, разрабатываемого Центром развития ГЧП совместно с Минэкономразвития России. Результаты рейтинга учитываются Правительством Российской Федерации при оценке эффективности инвестиционной деятельности губернаторов. Также с января 2016 года Рейтинг регионов по уровню развития ГЧП является составной частью Национального рейтинга состояния инвестиционного климата в субъектах Российской Федерации, формируемого Агентством стратегических инициатив.</w:t>
            </w:r>
          </w:p>
          <w:p w14:paraId="368BD8B8" w14:textId="15014F0F" w:rsidR="00BC13F3" w:rsidRPr="004679FD" w:rsidRDefault="00BC13F3" w:rsidP="00B15A31">
            <w:pPr>
              <w:ind w:firstLine="720"/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На сегодняшний день каждый субъект Российской Федерации выбирает наиболее приемлемый для него путь для выстраивания эффективной модели управления проектами ГЧП и достаточной институциональной среды для обеспечения развития сферы ГЧП в целом.</w:t>
            </w:r>
            <w:r w:rsidR="00B15A31" w:rsidRPr="004679FD">
              <w:rPr>
                <w:sz w:val="24"/>
                <w:szCs w:val="24"/>
              </w:rPr>
              <w:t xml:space="preserve"> </w:t>
            </w:r>
            <w:r w:rsidRPr="004679FD">
              <w:rPr>
                <w:sz w:val="24"/>
                <w:szCs w:val="24"/>
              </w:rPr>
              <w:t xml:space="preserve">Один из ключей к успешному запуску проекта ГЧП – наличие необходимых ресурсов у государственного заказчика проекта:  сформированная нормативно-правовая база, отработанная </w:t>
            </w:r>
            <w:r w:rsidRPr="004679FD">
              <w:rPr>
                <w:sz w:val="24"/>
                <w:szCs w:val="24"/>
              </w:rPr>
              <w:lastRenderedPageBreak/>
              <w:t xml:space="preserve">система инициирования и принятия решений о реализации проектов, наличие квалифицированных специалистов и как следствие грамотное управление проектом на всех стадиях его жизненного цикла. </w:t>
            </w:r>
          </w:p>
          <w:p w14:paraId="2E05EE20" w14:textId="139C5625" w:rsidR="00BC13F3" w:rsidRPr="004679FD" w:rsidRDefault="00BC13F3" w:rsidP="004F2992">
            <w:pPr>
              <w:ind w:firstLine="720"/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 xml:space="preserve">Как в сжатые сроки выстроить наиболее эффективную систему управления сферой ГЧП </w:t>
            </w:r>
            <w:r w:rsidR="00B15A31" w:rsidRPr="004679FD">
              <w:rPr>
                <w:sz w:val="24"/>
                <w:szCs w:val="24"/>
              </w:rPr>
              <w:t xml:space="preserve">и улучшить свои позиции в Рейтинге </w:t>
            </w:r>
            <w:r w:rsidR="00F40737" w:rsidRPr="004679FD">
              <w:rPr>
                <w:sz w:val="24"/>
                <w:szCs w:val="24"/>
              </w:rPr>
              <w:t>расскажут представители регионов, совершивших за прошедший период наибольший прорыв в формировании условий для реализации проектов ГЧП.</w:t>
            </w:r>
          </w:p>
          <w:p w14:paraId="2A7BB00F" w14:textId="4725E743" w:rsidR="00BC13F3" w:rsidRPr="004679FD" w:rsidRDefault="00BC13F3" w:rsidP="00C55E70">
            <w:pPr>
              <w:jc w:val="both"/>
              <w:rPr>
                <w:sz w:val="24"/>
                <w:szCs w:val="24"/>
              </w:rPr>
            </w:pPr>
          </w:p>
        </w:tc>
      </w:tr>
      <w:tr w:rsidR="00044886" w:rsidRPr="004679FD" w14:paraId="28C14E12" w14:textId="77777777" w:rsidTr="005C7D3B">
        <w:trPr>
          <w:trHeight w:val="558"/>
        </w:trPr>
        <w:tc>
          <w:tcPr>
            <w:tcW w:w="2547" w:type="dxa"/>
          </w:tcPr>
          <w:p w14:paraId="35FCD2E1" w14:textId="4969D258" w:rsidR="00044886" w:rsidRPr="004679FD" w:rsidRDefault="00044886" w:rsidP="005C7D3B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lastRenderedPageBreak/>
              <w:t>12:30 – 14:30</w:t>
            </w:r>
          </w:p>
          <w:p w14:paraId="3F32C181" w14:textId="77777777" w:rsidR="00044886" w:rsidRPr="004679FD" w:rsidRDefault="00044886" w:rsidP="005C7D3B">
            <w:pPr>
              <w:rPr>
                <w:b/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Президентский зал</w:t>
            </w:r>
          </w:p>
        </w:tc>
        <w:tc>
          <w:tcPr>
            <w:tcW w:w="7342" w:type="dxa"/>
          </w:tcPr>
          <w:p w14:paraId="50934620" w14:textId="54A3A76A" w:rsidR="00044886" w:rsidRPr="004679FD" w:rsidRDefault="00044886" w:rsidP="005C7D3B">
            <w:pPr>
              <w:rPr>
                <w:sz w:val="24"/>
                <w:szCs w:val="24"/>
                <w:u w:val="single"/>
              </w:rPr>
            </w:pPr>
            <w:r w:rsidRPr="004679FD">
              <w:rPr>
                <w:sz w:val="24"/>
                <w:szCs w:val="24"/>
                <w:u w:val="single"/>
              </w:rPr>
              <w:t>Мастер-класс</w:t>
            </w:r>
          </w:p>
          <w:p w14:paraId="3CF61EEE" w14:textId="77777777" w:rsidR="00044886" w:rsidRPr="004679FD" w:rsidRDefault="00044886" w:rsidP="005C7D3B">
            <w:pPr>
              <w:rPr>
                <w:b/>
                <w:sz w:val="24"/>
                <w:szCs w:val="24"/>
              </w:rPr>
            </w:pPr>
            <w:r w:rsidRPr="004679FD">
              <w:rPr>
                <w:b/>
                <w:sz w:val="24"/>
                <w:szCs w:val="24"/>
              </w:rPr>
              <w:t>«13 подзаконных актов: инструкция к применению»</w:t>
            </w:r>
          </w:p>
          <w:p w14:paraId="490D5A1D" w14:textId="77777777" w:rsidR="00044886" w:rsidRPr="004679FD" w:rsidRDefault="00044886" w:rsidP="004F2992">
            <w:pPr>
              <w:jc w:val="both"/>
              <w:rPr>
                <w:sz w:val="28"/>
                <w:szCs w:val="28"/>
              </w:rPr>
            </w:pPr>
            <w:r w:rsidRPr="004679FD">
              <w:rPr>
                <w:rFonts w:eastAsia="Calibri"/>
                <w:sz w:val="24"/>
                <w:szCs w:val="24"/>
              </w:rPr>
              <w:t>1 января 2016 года федеральный закон о государственно-частном партнерстве вступил в силу. С момента его принятия летом 2015 года Минэкономразвития по поручению Правительства проведена работа по «</w:t>
            </w:r>
            <w:proofErr w:type="spellStart"/>
            <w:r w:rsidRPr="004679FD">
              <w:rPr>
                <w:rFonts w:eastAsia="Calibri"/>
                <w:sz w:val="24"/>
                <w:szCs w:val="24"/>
              </w:rPr>
              <w:t>донастройке</w:t>
            </w:r>
            <w:proofErr w:type="spellEnd"/>
            <w:r w:rsidRPr="004679FD">
              <w:rPr>
                <w:rFonts w:eastAsia="Calibri"/>
                <w:sz w:val="24"/>
                <w:szCs w:val="24"/>
              </w:rPr>
              <w:t>» документа путем разработки необходимых нормативных правовых актов.  Контроль и мониторинг проектов, порядок и методика оценки эффективности проектов, ряд процедурных вопросов, таких как порядок подготовки и проведения конкурса, механизм ведения переговоров с инициатором проекта – все эти процессы, прописанные в законе, требовали дополнительной «инструкции к применению». Сейчас нормативная база укомплектована и для успешного перехода от теории к практике, регионам и федеральным заказчикам осталось научиться грамотно ее использовать при подготовке и запуске проектов на основании федерального закона о ГЧП.</w:t>
            </w:r>
          </w:p>
          <w:p w14:paraId="5EFCF148" w14:textId="0225FC92" w:rsidR="00BC13F3" w:rsidRPr="004679FD" w:rsidRDefault="00BC13F3" w:rsidP="001C0275">
            <w:pPr>
              <w:rPr>
                <w:sz w:val="24"/>
                <w:szCs w:val="24"/>
              </w:rPr>
            </w:pPr>
          </w:p>
        </w:tc>
      </w:tr>
      <w:tr w:rsidR="00BC13F3" w:rsidRPr="004679FD" w14:paraId="758D1525" w14:textId="77777777" w:rsidTr="00BC13F3">
        <w:trPr>
          <w:trHeight w:val="331"/>
        </w:trPr>
        <w:tc>
          <w:tcPr>
            <w:tcW w:w="2547" w:type="dxa"/>
          </w:tcPr>
          <w:p w14:paraId="45BB9E84" w14:textId="4A2104C7" w:rsidR="00BC13F3" w:rsidRPr="004679FD" w:rsidRDefault="00BC13F3" w:rsidP="005C7D3B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14:30 – 15:30</w:t>
            </w:r>
          </w:p>
        </w:tc>
        <w:tc>
          <w:tcPr>
            <w:tcW w:w="7342" w:type="dxa"/>
          </w:tcPr>
          <w:p w14:paraId="49BD12F5" w14:textId="2C996F4D" w:rsidR="00BC13F3" w:rsidRPr="004679FD" w:rsidRDefault="00BC13F3" w:rsidP="005C7D3B">
            <w:pPr>
              <w:rPr>
                <w:sz w:val="24"/>
                <w:szCs w:val="24"/>
                <w:u w:val="single"/>
              </w:rPr>
            </w:pPr>
            <w:r w:rsidRPr="004679FD">
              <w:rPr>
                <w:sz w:val="24"/>
                <w:szCs w:val="24"/>
                <w:u w:val="single"/>
              </w:rPr>
              <w:t>Обед</w:t>
            </w:r>
          </w:p>
        </w:tc>
      </w:tr>
      <w:tr w:rsidR="00044886" w:rsidRPr="004679FD" w14:paraId="6649D889" w14:textId="77777777" w:rsidTr="005C7D3B">
        <w:trPr>
          <w:trHeight w:val="67"/>
        </w:trPr>
        <w:tc>
          <w:tcPr>
            <w:tcW w:w="2547" w:type="dxa"/>
          </w:tcPr>
          <w:p w14:paraId="1ADCC622" w14:textId="1C61BFC1" w:rsidR="00044886" w:rsidRPr="004679FD" w:rsidRDefault="00BC13F3" w:rsidP="005C7D3B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15:30 – 17</w:t>
            </w:r>
            <w:r w:rsidR="00044886" w:rsidRPr="004679FD">
              <w:rPr>
                <w:sz w:val="24"/>
                <w:szCs w:val="24"/>
              </w:rPr>
              <w:t xml:space="preserve">:30 </w:t>
            </w:r>
          </w:p>
          <w:p w14:paraId="22A9C5AB" w14:textId="1AF188C8" w:rsidR="00044886" w:rsidRPr="004679FD" w:rsidRDefault="00BC13F3" w:rsidP="005C7D3B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Президентский</w:t>
            </w:r>
            <w:r w:rsidR="00044886" w:rsidRPr="004679FD">
              <w:rPr>
                <w:sz w:val="24"/>
                <w:szCs w:val="24"/>
              </w:rPr>
              <w:t xml:space="preserve"> зал</w:t>
            </w:r>
          </w:p>
        </w:tc>
        <w:tc>
          <w:tcPr>
            <w:tcW w:w="7342" w:type="dxa"/>
          </w:tcPr>
          <w:p w14:paraId="6610F741" w14:textId="77777777" w:rsidR="00044886" w:rsidRPr="004679FD" w:rsidRDefault="00044886" w:rsidP="005C7D3B">
            <w:pPr>
              <w:jc w:val="both"/>
              <w:rPr>
                <w:b/>
                <w:caps/>
                <w:sz w:val="24"/>
                <w:szCs w:val="24"/>
              </w:rPr>
            </w:pPr>
            <w:r w:rsidRPr="004679FD">
              <w:rPr>
                <w:sz w:val="24"/>
                <w:szCs w:val="24"/>
                <w:u w:val="single"/>
              </w:rPr>
              <w:t>Интерактивная сессия</w:t>
            </w:r>
          </w:p>
          <w:p w14:paraId="33EA530E" w14:textId="77777777" w:rsidR="00044886" w:rsidRPr="004679FD" w:rsidRDefault="00044886" w:rsidP="005C7D3B">
            <w:pPr>
              <w:rPr>
                <w:b/>
                <w:sz w:val="24"/>
                <w:szCs w:val="24"/>
              </w:rPr>
            </w:pPr>
            <w:r w:rsidRPr="004679FD">
              <w:rPr>
                <w:b/>
                <w:sz w:val="24"/>
                <w:szCs w:val="24"/>
              </w:rPr>
              <w:t>«ГЧП или ГОСЗАКАЗ: оценка эффективности и сравнительного преимущества проектов»</w:t>
            </w:r>
          </w:p>
          <w:p w14:paraId="3F80FCC7" w14:textId="77777777" w:rsidR="00044886" w:rsidRPr="004679FD" w:rsidRDefault="00044886" w:rsidP="005C7D3B">
            <w:pPr>
              <w:rPr>
                <w:sz w:val="24"/>
                <w:szCs w:val="24"/>
              </w:rPr>
            </w:pPr>
          </w:p>
          <w:p w14:paraId="526E3D14" w14:textId="77777777" w:rsidR="00044886" w:rsidRPr="004679FD" w:rsidRDefault="00044886" w:rsidP="005C7D3B">
            <w:pPr>
              <w:ind w:firstLine="284"/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В большинстве случаев государственный заказчик прибегает к применению государственно-частного партнерства при наличии серьезных бюджетных ограничений, тормозящих развитие необходимой общественной инфраструктуры. Также ГЧП, путем привнесения в проект управленческих и технологических компетенций частного партнера  позволяет повысить качество услуг, оказываемых населению в рамках создаваемого объекта.</w:t>
            </w:r>
          </w:p>
          <w:p w14:paraId="6A29F97C" w14:textId="77777777" w:rsidR="00044886" w:rsidRPr="004679FD" w:rsidRDefault="00044886" w:rsidP="005C7D3B">
            <w:pPr>
              <w:ind w:firstLine="284"/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При этом ГЧП – это не панацея для реализации инфраструктурных проектов. В зависимости от специфики проекта в ряде случаев государственный заказ на строительство или реконструкцию объектов инфраструктуры может быть более эффективным. Для того чтобы получить основание для рационального выбора, и избежать дополнительного внимания со стороны контрольно-надзорных органов публичному партнеру необходим инструментарий для объективной оценки эффективности и сравнительного преимущества ГЧП перед системой закупок при реализации каждого конкретного проекта. Этот инструментарий должен также позволять отличать мнимые проекты ГЧП от реальных и реализуемые от невыполнимых.</w:t>
            </w:r>
          </w:p>
          <w:p w14:paraId="6755065A" w14:textId="77777777" w:rsidR="00044886" w:rsidRPr="004679FD" w:rsidRDefault="00044886" w:rsidP="005C7D3B">
            <w:pPr>
              <w:ind w:firstLine="284"/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По этим причинам федеральный закон о государственно-частном партнерстве предусматривает проведение оценки эффективности и сравнительного преимущества в целях выбора способа реализации проекта: в рамках ГЧП или системы закупок.</w:t>
            </w:r>
          </w:p>
          <w:p w14:paraId="00EB8494" w14:textId="7DD18E18" w:rsidR="004F2992" w:rsidRPr="004679FD" w:rsidRDefault="004F2992" w:rsidP="00BC13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4886" w:rsidRPr="004679FD" w14:paraId="35391DB5" w14:textId="77777777" w:rsidTr="005C7D3B">
        <w:tc>
          <w:tcPr>
            <w:tcW w:w="2547" w:type="dxa"/>
          </w:tcPr>
          <w:p w14:paraId="7013FA24" w14:textId="77777777" w:rsidR="00044886" w:rsidRPr="004679FD" w:rsidRDefault="00044886" w:rsidP="005C7D3B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15:30 – 17:30</w:t>
            </w:r>
          </w:p>
          <w:p w14:paraId="4970260C" w14:textId="77777777" w:rsidR="00044886" w:rsidRPr="004679FD" w:rsidRDefault="00044886" w:rsidP="005C7D3B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Стеклянный зал</w:t>
            </w:r>
          </w:p>
        </w:tc>
        <w:tc>
          <w:tcPr>
            <w:tcW w:w="7342" w:type="dxa"/>
          </w:tcPr>
          <w:p w14:paraId="6E7074A5" w14:textId="77777777" w:rsidR="00044886" w:rsidRPr="004679FD" w:rsidRDefault="00044886" w:rsidP="005C7D3B">
            <w:pPr>
              <w:jc w:val="both"/>
              <w:rPr>
                <w:sz w:val="24"/>
                <w:szCs w:val="24"/>
                <w:u w:val="single"/>
              </w:rPr>
            </w:pPr>
            <w:r w:rsidRPr="004679FD">
              <w:rPr>
                <w:sz w:val="24"/>
                <w:szCs w:val="24"/>
                <w:u w:val="single"/>
              </w:rPr>
              <w:t>Панельная дискуссия</w:t>
            </w:r>
          </w:p>
          <w:p w14:paraId="6B37D96C" w14:textId="77777777" w:rsidR="00044886" w:rsidRPr="004679FD" w:rsidRDefault="00044886" w:rsidP="005C7D3B">
            <w:pPr>
              <w:jc w:val="both"/>
              <w:rPr>
                <w:b/>
                <w:sz w:val="24"/>
                <w:szCs w:val="24"/>
              </w:rPr>
            </w:pPr>
            <w:r w:rsidRPr="004679FD">
              <w:rPr>
                <w:b/>
                <w:sz w:val="24"/>
                <w:szCs w:val="24"/>
              </w:rPr>
              <w:t>«Длинные» деньги в ГЧП: проектное финансирование и инфраструктурные облигации»</w:t>
            </w:r>
          </w:p>
          <w:p w14:paraId="589CEB42" w14:textId="77777777" w:rsidR="00044886" w:rsidRPr="004679FD" w:rsidRDefault="00044886" w:rsidP="005C7D3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6FA39E4" w14:textId="77777777" w:rsidR="00044886" w:rsidRPr="004679FD" w:rsidRDefault="00044886" w:rsidP="005C7D3B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В России с 2005 года реализовано чуть более 1000 проектов ГЧП в различных отраслях экономики и социальной сферы, что явно недостаточно с учетом масштаба нашей страны. Принятие федерального закона о ГЧП открывает новые возможности и схемы для участия частных партнеров в проектах с государством, но при этом он также вводит дополнительные ограничения, связанные с участием государственных структур в финансировании проектов ГЧП. Учитывая тот факт, что практически у всех банков, обеспечивающих кредитование проектов ГЧП –  существенное участие в капитале государства,  необходимость привлечения частных инвестиций возрастает.</w:t>
            </w:r>
          </w:p>
          <w:p w14:paraId="188B9D6C" w14:textId="77777777" w:rsidR="00044886" w:rsidRPr="004679FD" w:rsidRDefault="00044886" w:rsidP="005C7D3B">
            <w:pPr>
              <w:ind w:firstLine="567"/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В такой ситуации выпуск облигаций является одним из наиболее распространенных и перспективных способов получения реального финансирования, поскольку позволяет привлечь денежные средства рыночных инвесторов, предоставляя им возможность диверсификации портфеля ценных бумаг, реализации долгосрочной стратегии инвестирования средств и выработки качественного механизма управления рисками.</w:t>
            </w:r>
          </w:p>
          <w:p w14:paraId="68F25F26" w14:textId="77777777" w:rsidR="00BC13F3" w:rsidRPr="004679FD" w:rsidRDefault="00BC13F3" w:rsidP="001C0275">
            <w:pPr>
              <w:jc w:val="both"/>
              <w:rPr>
                <w:sz w:val="24"/>
                <w:szCs w:val="24"/>
              </w:rPr>
            </w:pPr>
          </w:p>
        </w:tc>
      </w:tr>
      <w:tr w:rsidR="00044886" w:rsidRPr="004679FD" w14:paraId="58A565BA" w14:textId="77777777" w:rsidTr="005C7D3B">
        <w:tc>
          <w:tcPr>
            <w:tcW w:w="2547" w:type="dxa"/>
          </w:tcPr>
          <w:p w14:paraId="6B35679E" w14:textId="77777777" w:rsidR="00044886" w:rsidRPr="004679FD" w:rsidRDefault="00044886" w:rsidP="005C7D3B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17:30 – 19:00</w:t>
            </w:r>
          </w:p>
        </w:tc>
        <w:tc>
          <w:tcPr>
            <w:tcW w:w="7342" w:type="dxa"/>
          </w:tcPr>
          <w:p w14:paraId="7AD50172" w14:textId="7B0341C1" w:rsidR="00BC13F3" w:rsidRPr="004679FD" w:rsidRDefault="00044886" w:rsidP="005C7D3B">
            <w:pPr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Фуршет, неформальное общение</w:t>
            </w:r>
          </w:p>
        </w:tc>
      </w:tr>
    </w:tbl>
    <w:p w14:paraId="17EFEB9C" w14:textId="74F71D76" w:rsidR="00C3107C" w:rsidRDefault="00C3107C">
      <w:pPr>
        <w:rPr>
          <w:lang w:val="en-US"/>
        </w:rPr>
      </w:pPr>
    </w:p>
    <w:p w14:paraId="47322470" w14:textId="77777777" w:rsidR="00C3107C" w:rsidRDefault="00C3107C">
      <w:pPr>
        <w:rPr>
          <w:lang w:val="en-US"/>
        </w:rPr>
      </w:pPr>
      <w:r>
        <w:rPr>
          <w:lang w:val="en-US"/>
        </w:rPr>
        <w:br w:type="page"/>
      </w:r>
    </w:p>
    <w:p w14:paraId="71F8E85D" w14:textId="77777777" w:rsidR="00044886" w:rsidRPr="004679FD" w:rsidRDefault="00044886">
      <w:pPr>
        <w:rPr>
          <w:lang w:val="en-US"/>
        </w:rPr>
      </w:pPr>
    </w:p>
    <w:tbl>
      <w:tblPr>
        <w:tblStyle w:val="a6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547"/>
        <w:gridCol w:w="7342"/>
      </w:tblGrid>
      <w:tr w:rsidR="00044886" w:rsidRPr="004679FD" w14:paraId="576DE7BF" w14:textId="77777777" w:rsidTr="005C7D3B">
        <w:tc>
          <w:tcPr>
            <w:tcW w:w="9889" w:type="dxa"/>
            <w:gridSpan w:val="2"/>
          </w:tcPr>
          <w:p w14:paraId="1280106E" w14:textId="77777777" w:rsidR="00044886" w:rsidRPr="004679FD" w:rsidRDefault="00044886" w:rsidP="004F2992">
            <w:pPr>
              <w:jc w:val="center"/>
              <w:rPr>
                <w:sz w:val="24"/>
                <w:szCs w:val="24"/>
                <w:u w:val="single"/>
              </w:rPr>
            </w:pPr>
            <w:r w:rsidRPr="004679FD">
              <w:rPr>
                <w:sz w:val="24"/>
                <w:szCs w:val="24"/>
                <w:u w:val="single"/>
              </w:rPr>
              <w:t>Среда, 30 марта 2016 года</w:t>
            </w:r>
          </w:p>
          <w:p w14:paraId="36AC7577" w14:textId="77777777" w:rsidR="00044886" w:rsidRDefault="00044886" w:rsidP="00375EDF">
            <w:pPr>
              <w:jc w:val="center"/>
              <w:rPr>
                <w:b/>
                <w:sz w:val="24"/>
                <w:szCs w:val="24"/>
              </w:rPr>
            </w:pPr>
            <w:r w:rsidRPr="004679FD">
              <w:rPr>
                <w:b/>
                <w:sz w:val="24"/>
                <w:szCs w:val="24"/>
              </w:rPr>
              <w:t>ВТОРОЙ ДЕНЬ ФОРУМА</w:t>
            </w:r>
          </w:p>
          <w:p w14:paraId="4BA6C204" w14:textId="2045F3F3" w:rsidR="00375EDF" w:rsidRPr="004679FD" w:rsidRDefault="00375EDF" w:rsidP="00375E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4886" w:rsidRPr="004679FD" w14:paraId="11774710" w14:textId="77777777" w:rsidTr="005C7D3B">
        <w:tc>
          <w:tcPr>
            <w:tcW w:w="2547" w:type="dxa"/>
          </w:tcPr>
          <w:p w14:paraId="2E60717D" w14:textId="77777777" w:rsidR="00044886" w:rsidRPr="004679FD" w:rsidRDefault="00044886" w:rsidP="005C7D3B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  <w:shd w:val="clear" w:color="auto" w:fill="FFFFFF"/>
              </w:rPr>
              <w:t>9:00 – 10:00</w:t>
            </w:r>
          </w:p>
        </w:tc>
        <w:tc>
          <w:tcPr>
            <w:tcW w:w="7342" w:type="dxa"/>
          </w:tcPr>
          <w:p w14:paraId="44EE9FDA" w14:textId="77777777" w:rsidR="00044886" w:rsidRPr="004679FD" w:rsidRDefault="00044886" w:rsidP="005C7D3B">
            <w:pPr>
              <w:jc w:val="both"/>
              <w:rPr>
                <w:b/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Регистрация, утренний кофе.</w:t>
            </w:r>
          </w:p>
        </w:tc>
      </w:tr>
      <w:tr w:rsidR="00044886" w:rsidRPr="004679FD" w14:paraId="69D80E6D" w14:textId="77777777" w:rsidTr="005C7D3B">
        <w:tc>
          <w:tcPr>
            <w:tcW w:w="2547" w:type="dxa"/>
          </w:tcPr>
          <w:p w14:paraId="27EDF4A0" w14:textId="77777777" w:rsidR="00044886" w:rsidRPr="004679FD" w:rsidRDefault="00044886" w:rsidP="005C7D3B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10:00 – 12:00</w:t>
            </w:r>
          </w:p>
        </w:tc>
        <w:tc>
          <w:tcPr>
            <w:tcW w:w="7342" w:type="dxa"/>
          </w:tcPr>
          <w:p w14:paraId="6ECE605C" w14:textId="77777777" w:rsidR="00044886" w:rsidRPr="004679FD" w:rsidRDefault="00044886" w:rsidP="005C7D3B">
            <w:pPr>
              <w:jc w:val="both"/>
              <w:rPr>
                <w:sz w:val="24"/>
                <w:szCs w:val="24"/>
                <w:u w:val="single"/>
              </w:rPr>
            </w:pPr>
            <w:r w:rsidRPr="004679FD">
              <w:rPr>
                <w:sz w:val="24"/>
                <w:szCs w:val="24"/>
                <w:u w:val="single"/>
              </w:rPr>
              <w:t>Пленарное заседание</w:t>
            </w:r>
          </w:p>
          <w:p w14:paraId="7E539923" w14:textId="77777777" w:rsidR="00044886" w:rsidRPr="004679FD" w:rsidRDefault="00044886" w:rsidP="005C7D3B">
            <w:pPr>
              <w:jc w:val="both"/>
              <w:rPr>
                <w:b/>
                <w:sz w:val="24"/>
                <w:szCs w:val="24"/>
              </w:rPr>
            </w:pPr>
            <w:r w:rsidRPr="004679FD">
              <w:rPr>
                <w:b/>
                <w:sz w:val="24"/>
                <w:szCs w:val="24"/>
              </w:rPr>
              <w:t>«Поиск баланса интересов и минимизация рисков партнеров в транспортных инфраструктурных проектах»</w:t>
            </w:r>
          </w:p>
          <w:p w14:paraId="6826CD52" w14:textId="77777777" w:rsidR="00044886" w:rsidRPr="004679FD" w:rsidRDefault="00044886" w:rsidP="005C7D3B">
            <w:pPr>
              <w:jc w:val="both"/>
              <w:rPr>
                <w:b/>
                <w:sz w:val="24"/>
                <w:szCs w:val="24"/>
              </w:rPr>
            </w:pPr>
          </w:p>
          <w:p w14:paraId="339FBB80" w14:textId="27637D1D" w:rsidR="00044886" w:rsidRPr="004679FD" w:rsidRDefault="00044886" w:rsidP="004F2992">
            <w:pPr>
              <w:ind w:firstLine="720"/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Транспортная инфраструктура является связующим звеном, обеспечивающим бесперебойное</w:t>
            </w:r>
            <w:r w:rsidR="007F1E62" w:rsidRPr="004679FD">
              <w:rPr>
                <w:sz w:val="24"/>
                <w:szCs w:val="24"/>
              </w:rPr>
              <w:t xml:space="preserve"> пространственное и</w:t>
            </w:r>
            <w:r w:rsidRPr="004679FD">
              <w:rPr>
                <w:sz w:val="24"/>
                <w:szCs w:val="24"/>
              </w:rPr>
              <w:t xml:space="preserve"> социально-экономическое развитие </w:t>
            </w:r>
            <w:r w:rsidR="007F1E62" w:rsidRPr="004679FD">
              <w:rPr>
                <w:sz w:val="24"/>
                <w:szCs w:val="24"/>
              </w:rPr>
              <w:t>нашей страны</w:t>
            </w:r>
            <w:r w:rsidRPr="004679FD">
              <w:rPr>
                <w:sz w:val="24"/>
                <w:szCs w:val="24"/>
              </w:rPr>
              <w:t xml:space="preserve">. Автомобильные и железные дороги, мосты и путепроводы, аэропорты и порты – все это сложные и в большинстве случаев капиталоемкие объекты. И, как следствие, в случае экономической нестабильности эти проекты первые ощущают на себе негативный эффект. Пересмотр цен на проезд по М-11, перенос конкурсов на строительство участков </w:t>
            </w:r>
            <w:proofErr w:type="spellStart"/>
            <w:r w:rsidRPr="004679FD">
              <w:rPr>
                <w:sz w:val="24"/>
                <w:szCs w:val="24"/>
              </w:rPr>
              <w:t>ЦКАДа</w:t>
            </w:r>
            <w:proofErr w:type="spellEnd"/>
            <w:r w:rsidRPr="004679FD">
              <w:rPr>
                <w:sz w:val="24"/>
                <w:szCs w:val="24"/>
              </w:rPr>
              <w:t xml:space="preserve">, замораживание ряда крупных региональных проектов,  в связи с отсутствием потенциальных участников, нерешенные вопросы с передачей в концессию аэропортов Московского авиационного узла, все эти проблемы сосредоточены на поиске равновесия между сокращающимися возможностями государственных заказчиков и возрастающими потребностями частных инвесторов. </w:t>
            </w:r>
          </w:p>
          <w:p w14:paraId="28D40BDE" w14:textId="77777777" w:rsidR="00044886" w:rsidRPr="004679FD" w:rsidRDefault="00044886" w:rsidP="001C027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4886" w:rsidRPr="004679FD" w14:paraId="518B7E49" w14:textId="77777777" w:rsidTr="005C7D3B">
        <w:tc>
          <w:tcPr>
            <w:tcW w:w="2547" w:type="dxa"/>
          </w:tcPr>
          <w:p w14:paraId="20AE5014" w14:textId="77777777" w:rsidR="00044886" w:rsidRPr="004679FD" w:rsidRDefault="00044886" w:rsidP="005C7D3B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  <w:shd w:val="clear" w:color="auto" w:fill="FFFFFF"/>
              </w:rPr>
              <w:t>12:00 – 12:30</w:t>
            </w:r>
          </w:p>
        </w:tc>
        <w:tc>
          <w:tcPr>
            <w:tcW w:w="7342" w:type="dxa"/>
          </w:tcPr>
          <w:p w14:paraId="644D6BD8" w14:textId="77777777" w:rsidR="00044886" w:rsidRPr="004679FD" w:rsidRDefault="00044886" w:rsidP="005C7D3B">
            <w:pPr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Кофе-брейк</w:t>
            </w:r>
          </w:p>
          <w:p w14:paraId="5A42D8FE" w14:textId="77777777" w:rsidR="004F2992" w:rsidRPr="004679FD" w:rsidRDefault="004F2992" w:rsidP="005C7D3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4886" w:rsidRPr="004679FD" w14:paraId="2ACD8357" w14:textId="77777777" w:rsidTr="005C7D3B">
        <w:tc>
          <w:tcPr>
            <w:tcW w:w="2547" w:type="dxa"/>
          </w:tcPr>
          <w:p w14:paraId="6F789394" w14:textId="77777777" w:rsidR="00044886" w:rsidRPr="004679FD" w:rsidRDefault="00044886" w:rsidP="005C7D3B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 xml:space="preserve">12:30 – 14:30 </w:t>
            </w:r>
          </w:p>
          <w:p w14:paraId="7FC28587" w14:textId="77777777" w:rsidR="00044886" w:rsidRPr="004679FD" w:rsidRDefault="00044886" w:rsidP="005C7D3B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Большой зал</w:t>
            </w:r>
          </w:p>
        </w:tc>
        <w:tc>
          <w:tcPr>
            <w:tcW w:w="7342" w:type="dxa"/>
          </w:tcPr>
          <w:p w14:paraId="64899A7B" w14:textId="77777777" w:rsidR="00044886" w:rsidRPr="004679FD" w:rsidRDefault="00044886" w:rsidP="005C7D3B">
            <w:pPr>
              <w:rPr>
                <w:b/>
                <w:sz w:val="24"/>
                <w:szCs w:val="24"/>
              </w:rPr>
            </w:pPr>
            <w:r w:rsidRPr="004679FD">
              <w:rPr>
                <w:b/>
                <w:sz w:val="24"/>
                <w:szCs w:val="24"/>
              </w:rPr>
              <w:t>«Стресс-тест проектов, претендующих на финансирование из федерального дорожного фонда»</w:t>
            </w:r>
          </w:p>
          <w:p w14:paraId="092F1CB5" w14:textId="77777777" w:rsidR="004F2992" w:rsidRPr="004679FD" w:rsidRDefault="004F2992" w:rsidP="005C7D3B">
            <w:pPr>
              <w:rPr>
                <w:b/>
                <w:sz w:val="24"/>
                <w:szCs w:val="24"/>
              </w:rPr>
            </w:pPr>
          </w:p>
          <w:p w14:paraId="0DF84611" w14:textId="77777777" w:rsidR="00044886" w:rsidRPr="004679FD" w:rsidRDefault="00044886" w:rsidP="004F2992">
            <w:pPr>
              <w:ind w:firstLine="720"/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 xml:space="preserve">Согласно решению Правительства доход от платы, взимаемой с автомобилей массой свыше 12 тонн в рамках проекта «Платон» поступает в Федеральный дорожный фонд с целью дальнейшей поддержки региональных проектов ГЧП. Для решения этой задачи </w:t>
            </w:r>
            <w:proofErr w:type="spellStart"/>
            <w:r w:rsidRPr="004679FD">
              <w:rPr>
                <w:sz w:val="24"/>
                <w:szCs w:val="24"/>
              </w:rPr>
              <w:t>Росавтодор</w:t>
            </w:r>
            <w:proofErr w:type="spellEnd"/>
            <w:r w:rsidRPr="004679FD">
              <w:rPr>
                <w:sz w:val="24"/>
                <w:szCs w:val="24"/>
              </w:rPr>
              <w:t xml:space="preserve"> разработал критерии, которым должны соответствовать проекты, претендующие на федеральное субсидирование. В рамках стресс-теста будут рассмотрены основные финансово-экономические показатели проектов, прошедших предварительный отбор в Федеральном дорожном агентстве, а также организационно-правовые модели проектов и возможные риски, которые могут возникать при их реализации. Ключевая цель стресс-теста – внести профессиональные коррективы в ход структурирования и подготовки проектов, на основании заключений приглашенных экспертов – представителей консалтинговых компаний, специализирующихся на структурировании проектов ГЧП, финансирующих организаций – потенциальных инвесторов проектов. </w:t>
            </w:r>
          </w:p>
          <w:p w14:paraId="0400B933" w14:textId="77777777" w:rsidR="00044886" w:rsidRPr="004679FD" w:rsidRDefault="00044886" w:rsidP="001C0275">
            <w:pPr>
              <w:jc w:val="both"/>
              <w:rPr>
                <w:sz w:val="24"/>
                <w:szCs w:val="24"/>
              </w:rPr>
            </w:pPr>
          </w:p>
        </w:tc>
      </w:tr>
      <w:tr w:rsidR="00044886" w:rsidRPr="004679FD" w14:paraId="5BF99058" w14:textId="77777777" w:rsidTr="005C7D3B">
        <w:trPr>
          <w:trHeight w:val="3863"/>
        </w:trPr>
        <w:tc>
          <w:tcPr>
            <w:tcW w:w="2547" w:type="dxa"/>
          </w:tcPr>
          <w:p w14:paraId="25D27E23" w14:textId="77777777" w:rsidR="00044886" w:rsidRPr="004679FD" w:rsidRDefault="00044886" w:rsidP="005C7D3B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 xml:space="preserve">12:30 – 14:30 </w:t>
            </w:r>
          </w:p>
          <w:p w14:paraId="173DBCD7" w14:textId="77777777" w:rsidR="00044886" w:rsidRPr="004679FD" w:rsidRDefault="00044886" w:rsidP="005C7D3B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Президентский зал</w:t>
            </w:r>
          </w:p>
        </w:tc>
        <w:tc>
          <w:tcPr>
            <w:tcW w:w="7342" w:type="dxa"/>
          </w:tcPr>
          <w:p w14:paraId="6F6CFA0F" w14:textId="4AE0A169" w:rsidR="004F2992" w:rsidRPr="004679FD" w:rsidRDefault="00044886" w:rsidP="005C7D3B">
            <w:pPr>
              <w:rPr>
                <w:sz w:val="24"/>
                <w:szCs w:val="24"/>
                <w:u w:val="single"/>
              </w:rPr>
            </w:pPr>
            <w:r w:rsidRPr="004679FD">
              <w:rPr>
                <w:sz w:val="24"/>
                <w:szCs w:val="24"/>
                <w:u w:val="single"/>
              </w:rPr>
              <w:t>Открытая дискуссия</w:t>
            </w:r>
          </w:p>
          <w:p w14:paraId="3CE2FD91" w14:textId="77777777" w:rsidR="00044886" w:rsidRPr="004679FD" w:rsidRDefault="00044886" w:rsidP="005C7D3B">
            <w:pPr>
              <w:rPr>
                <w:b/>
                <w:sz w:val="24"/>
                <w:szCs w:val="24"/>
              </w:rPr>
            </w:pPr>
            <w:r w:rsidRPr="004679FD">
              <w:rPr>
                <w:b/>
                <w:sz w:val="24"/>
                <w:szCs w:val="24"/>
              </w:rPr>
              <w:t xml:space="preserve">«Проекты </w:t>
            </w:r>
            <w:proofErr w:type="spellStart"/>
            <w:r w:rsidRPr="004679FD">
              <w:rPr>
                <w:b/>
                <w:sz w:val="24"/>
                <w:szCs w:val="24"/>
              </w:rPr>
              <w:t>фотовидеофиксации</w:t>
            </w:r>
            <w:proofErr w:type="spellEnd"/>
            <w:r w:rsidRPr="004679FD">
              <w:rPr>
                <w:b/>
                <w:sz w:val="24"/>
                <w:szCs w:val="24"/>
              </w:rPr>
              <w:t>: концессия или нет?»</w:t>
            </w:r>
          </w:p>
          <w:p w14:paraId="624D7F95" w14:textId="77777777" w:rsidR="004F2992" w:rsidRPr="004679FD" w:rsidRDefault="00044886" w:rsidP="004F2992">
            <w:pPr>
              <w:ind w:firstLine="720"/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 xml:space="preserve">Проекты, направленные на создание систем обеспечения безопасности на дорогах были актуальны всегда. До недавних времен такие проекты реализовывались только за счет региональных бюджетов, но ситуация в регионах нестабильна и с конца 2013 года стали появляться случаи привлечения частных партнеров для реализации проектов через механизм заключения инвестиционных контрактов. </w:t>
            </w:r>
          </w:p>
          <w:p w14:paraId="40678E94" w14:textId="5224730F" w:rsidR="00044886" w:rsidRPr="004679FD" w:rsidRDefault="00044886" w:rsidP="004F2992">
            <w:pPr>
              <w:ind w:firstLine="720"/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В 2015 году в Рязанской области и Забайкальском крае были запущены первые концессионные проекты на создание систем фото и видео фиксации, а также обеспечения весогабаритного контроля. Тем не менее правоприменительная практика идет по негативному сценарию  - за последний год было объявлено порядка 10 конкурсов на право заключения концессионных соглашений на создание систем безопасности на дорогах, но практически все они признаны не состоявшимися. В чем основные сложности проектов и почему частные инвесторы с опаской смотрят на концессию в этой сфере?</w:t>
            </w:r>
          </w:p>
          <w:p w14:paraId="1196A9B7" w14:textId="77777777" w:rsidR="00044886" w:rsidRPr="004679FD" w:rsidRDefault="00044886" w:rsidP="001C0275">
            <w:pPr>
              <w:rPr>
                <w:sz w:val="24"/>
                <w:szCs w:val="24"/>
              </w:rPr>
            </w:pPr>
          </w:p>
        </w:tc>
      </w:tr>
      <w:tr w:rsidR="00044886" w:rsidRPr="004679FD" w14:paraId="4A2C494D" w14:textId="77777777" w:rsidTr="005C7D3B">
        <w:tc>
          <w:tcPr>
            <w:tcW w:w="2547" w:type="dxa"/>
          </w:tcPr>
          <w:p w14:paraId="10236905" w14:textId="77777777" w:rsidR="00044886" w:rsidRPr="004679FD" w:rsidRDefault="00044886" w:rsidP="005C7D3B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 xml:space="preserve">12:30 – 14:30 </w:t>
            </w:r>
          </w:p>
          <w:p w14:paraId="3980B19E" w14:textId="77777777" w:rsidR="00044886" w:rsidRPr="004679FD" w:rsidRDefault="00044886" w:rsidP="005C7D3B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Стеклянный зал</w:t>
            </w:r>
          </w:p>
        </w:tc>
        <w:tc>
          <w:tcPr>
            <w:tcW w:w="7342" w:type="dxa"/>
          </w:tcPr>
          <w:p w14:paraId="192ADB35" w14:textId="77777777" w:rsidR="00044886" w:rsidRPr="004679FD" w:rsidRDefault="00044886" w:rsidP="005C7D3B">
            <w:pPr>
              <w:rPr>
                <w:sz w:val="24"/>
                <w:szCs w:val="24"/>
                <w:u w:val="single"/>
              </w:rPr>
            </w:pPr>
            <w:r w:rsidRPr="004679FD">
              <w:rPr>
                <w:sz w:val="24"/>
                <w:szCs w:val="24"/>
                <w:u w:val="single"/>
              </w:rPr>
              <w:t>Стратегическая панель</w:t>
            </w:r>
          </w:p>
          <w:p w14:paraId="1C284DCF" w14:textId="77777777" w:rsidR="00044886" w:rsidRPr="004679FD" w:rsidRDefault="00044886" w:rsidP="005C7D3B">
            <w:pPr>
              <w:rPr>
                <w:sz w:val="24"/>
                <w:szCs w:val="24"/>
              </w:rPr>
            </w:pPr>
            <w:r w:rsidRPr="004679FD">
              <w:rPr>
                <w:b/>
                <w:sz w:val="24"/>
                <w:szCs w:val="24"/>
              </w:rPr>
              <w:t>«Возможности развития аэропортовой инфраструктуры в рамках 224-ФЗ»</w:t>
            </w:r>
          </w:p>
          <w:p w14:paraId="513DB199" w14:textId="77777777" w:rsidR="00044886" w:rsidRPr="004679FD" w:rsidRDefault="00044886" w:rsidP="005C7D3B">
            <w:pPr>
              <w:jc w:val="both"/>
              <w:rPr>
                <w:b/>
                <w:sz w:val="24"/>
                <w:szCs w:val="24"/>
              </w:rPr>
            </w:pPr>
          </w:p>
          <w:p w14:paraId="46D32BA6" w14:textId="77777777" w:rsidR="00044886" w:rsidRPr="004679FD" w:rsidRDefault="00044886" w:rsidP="004F2992">
            <w:pPr>
              <w:ind w:firstLine="720"/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Вступивший в начале года в силу федеральный закон о ГЧП открывает новые возможности для реализации проектов в сфере аэропортовой инфраструктуры, в частности повышает ее инвестиционную привлекательность возможностью возникновения права частной собственности и введением ряда мер поддержки инвесторов. В первую очередь появляются перспективы у менее крупных региональных аэропортов.</w:t>
            </w:r>
          </w:p>
          <w:p w14:paraId="2E3E5CD1" w14:textId="77777777" w:rsidR="00044886" w:rsidRPr="004679FD" w:rsidRDefault="00044886" w:rsidP="004F2992">
            <w:pPr>
              <w:ind w:firstLine="720"/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 xml:space="preserve">При этом на сегодняшний день по оценкам экспертов в России наиболее привлекательными для частных инвесторов являются аэропорты  с пассажиропотоком более 1 млн человек в год. Естественно наибольшее внимание сосредоточено вокруг «большой четверки» - Домодедово, Шереметьево и Внуково – аэропорты Московского авиационного узла и Пулково в Санкт-Петербурге. Если с последним всё давно понятно – этот проект уже признан экспертами одним из лучших проектов ГЧП в мире, то аэропорты Московского авиационного узла всё еще «стоят в очередь» на концессию. По последней информации концессионные соглашения будут заключены не раньше 2017 года, основная проблема кроется в определении источника возврата инвестиций, которые в общей сложности насчитывают 180 млрд рублей. </w:t>
            </w:r>
          </w:p>
          <w:p w14:paraId="297B8BC7" w14:textId="77777777" w:rsidR="00044886" w:rsidRPr="004679FD" w:rsidRDefault="00044886" w:rsidP="004F2992">
            <w:pPr>
              <w:ind w:firstLine="720"/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При этом на региональном уровне внедряются альтернативные модели модернизации аэропортовых комплексов, за счет участия инвесторов в капитале акционерных обществ аэропортов под обязательства реконструкции – такие проекты уже реализуются в Самарской, Нижегородской областях, Пермском Край и других регионах.</w:t>
            </w:r>
          </w:p>
          <w:p w14:paraId="5A2B4CC0" w14:textId="6B4528DA" w:rsidR="00044886" w:rsidRPr="004679FD" w:rsidRDefault="00044886" w:rsidP="004F29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</w:tc>
      </w:tr>
      <w:tr w:rsidR="00044886" w:rsidRPr="004679FD" w14:paraId="649AB2A7" w14:textId="77777777" w:rsidTr="005C7D3B">
        <w:tc>
          <w:tcPr>
            <w:tcW w:w="2547" w:type="dxa"/>
          </w:tcPr>
          <w:p w14:paraId="2004E9DD" w14:textId="77777777" w:rsidR="00044886" w:rsidRPr="004679FD" w:rsidRDefault="00044886" w:rsidP="005C7D3B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 xml:space="preserve">14:30 – 15:30 </w:t>
            </w:r>
          </w:p>
        </w:tc>
        <w:tc>
          <w:tcPr>
            <w:tcW w:w="7342" w:type="dxa"/>
          </w:tcPr>
          <w:p w14:paraId="0814B841" w14:textId="77777777" w:rsidR="00044886" w:rsidRPr="004679FD" w:rsidRDefault="00044886" w:rsidP="005C7D3B">
            <w:pPr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Обед</w:t>
            </w:r>
          </w:p>
          <w:p w14:paraId="778C836C" w14:textId="77777777" w:rsidR="004F2992" w:rsidRPr="004679FD" w:rsidRDefault="004F2992" w:rsidP="005C7D3B">
            <w:pPr>
              <w:jc w:val="both"/>
              <w:rPr>
                <w:sz w:val="24"/>
                <w:szCs w:val="24"/>
              </w:rPr>
            </w:pPr>
          </w:p>
        </w:tc>
      </w:tr>
      <w:tr w:rsidR="00044886" w:rsidRPr="004679FD" w14:paraId="3D44350A" w14:textId="77777777" w:rsidTr="005C7D3B">
        <w:tc>
          <w:tcPr>
            <w:tcW w:w="2547" w:type="dxa"/>
          </w:tcPr>
          <w:p w14:paraId="1DC4AA94" w14:textId="77777777" w:rsidR="00044886" w:rsidRPr="004679FD" w:rsidRDefault="00044886" w:rsidP="005C7D3B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15:30 – 17:30</w:t>
            </w:r>
          </w:p>
          <w:p w14:paraId="1CD0B78D" w14:textId="4CB5BF12" w:rsidR="00044886" w:rsidRPr="004679FD" w:rsidRDefault="00425439" w:rsidP="005C7D3B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Большой</w:t>
            </w:r>
            <w:r w:rsidR="00044886" w:rsidRPr="004679FD">
              <w:rPr>
                <w:sz w:val="24"/>
                <w:szCs w:val="24"/>
              </w:rPr>
              <w:t xml:space="preserve"> зал</w:t>
            </w:r>
          </w:p>
        </w:tc>
        <w:tc>
          <w:tcPr>
            <w:tcW w:w="7342" w:type="dxa"/>
          </w:tcPr>
          <w:p w14:paraId="29E66DF2" w14:textId="77777777" w:rsidR="004F2992" w:rsidRPr="004679FD" w:rsidRDefault="004F2992" w:rsidP="005C7D3B">
            <w:pPr>
              <w:rPr>
                <w:sz w:val="24"/>
                <w:szCs w:val="24"/>
                <w:u w:val="single"/>
              </w:rPr>
            </w:pPr>
          </w:p>
          <w:p w14:paraId="0E1E5027" w14:textId="77777777" w:rsidR="00044886" w:rsidRPr="004679FD" w:rsidRDefault="00044886" w:rsidP="005C7D3B">
            <w:pPr>
              <w:rPr>
                <w:sz w:val="24"/>
                <w:szCs w:val="24"/>
                <w:u w:val="single"/>
              </w:rPr>
            </w:pPr>
            <w:r w:rsidRPr="004679FD">
              <w:rPr>
                <w:sz w:val="24"/>
                <w:szCs w:val="24"/>
                <w:u w:val="single"/>
              </w:rPr>
              <w:t>Мастер-класс</w:t>
            </w:r>
          </w:p>
          <w:p w14:paraId="3BF596EC" w14:textId="77777777" w:rsidR="00044886" w:rsidRPr="004679FD" w:rsidRDefault="00044886" w:rsidP="005C7D3B">
            <w:pPr>
              <w:rPr>
                <w:b/>
                <w:sz w:val="24"/>
                <w:szCs w:val="24"/>
              </w:rPr>
            </w:pPr>
            <w:r w:rsidRPr="004679FD">
              <w:rPr>
                <w:b/>
                <w:sz w:val="24"/>
                <w:szCs w:val="24"/>
              </w:rPr>
              <w:t>«Коммунальные концессии: распространенные ошибки и пути их решения»</w:t>
            </w:r>
          </w:p>
          <w:p w14:paraId="57ABC2C2" w14:textId="77777777" w:rsidR="00044886" w:rsidRPr="004679FD" w:rsidRDefault="00044886" w:rsidP="005C7D3B">
            <w:pPr>
              <w:rPr>
                <w:b/>
                <w:sz w:val="24"/>
                <w:szCs w:val="24"/>
              </w:rPr>
            </w:pPr>
          </w:p>
          <w:p w14:paraId="26C1272E" w14:textId="77777777" w:rsidR="004F2992" w:rsidRPr="004679FD" w:rsidRDefault="00044886" w:rsidP="004F2992">
            <w:pPr>
              <w:ind w:firstLine="720"/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Число концессионных проектов (объявленных конкурсов) в сфере тепло и водоснабжения исчисляется уже сотнями, если не тысячами,  но к сожалению далеко не все проекты доходят до логического завершения – около 50</w:t>
            </w:r>
            <w:r w:rsidRPr="004679FD">
              <w:rPr>
                <w:sz w:val="24"/>
                <w:szCs w:val="24"/>
                <w:lang w:val="en-US"/>
              </w:rPr>
              <w:t xml:space="preserve">% </w:t>
            </w:r>
            <w:r w:rsidRPr="004679FD">
              <w:rPr>
                <w:sz w:val="24"/>
                <w:szCs w:val="24"/>
              </w:rPr>
              <w:t>«отваливаются» еще на этапе конкурса, еще 10</w:t>
            </w:r>
            <w:r w:rsidRPr="004679FD">
              <w:rPr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4679FD">
              <w:rPr>
                <w:sz w:val="24"/>
                <w:szCs w:val="24"/>
                <w:lang w:val="en-US"/>
              </w:rPr>
              <w:t>заключенных</w:t>
            </w:r>
            <w:proofErr w:type="spellEnd"/>
            <w:r w:rsidRPr="004679FD">
              <w:rPr>
                <w:sz w:val="24"/>
                <w:szCs w:val="24"/>
                <w:lang w:val="en-US"/>
              </w:rPr>
              <w:t xml:space="preserve"> </w:t>
            </w:r>
            <w:r w:rsidRPr="004679FD">
              <w:rPr>
                <w:sz w:val="24"/>
                <w:szCs w:val="24"/>
              </w:rPr>
              <w:t xml:space="preserve">соглашений несут за собой риск дальнейшего дефолта публичного заказчика. </w:t>
            </w:r>
          </w:p>
          <w:p w14:paraId="735B834F" w14:textId="5B08E4C1" w:rsidR="00044886" w:rsidRPr="004679FD" w:rsidRDefault="00044886" w:rsidP="004F2992">
            <w:pPr>
              <w:ind w:firstLine="720"/>
              <w:jc w:val="both"/>
              <w:rPr>
                <w:rFonts w:eastAsiaTheme="majorEastAsia"/>
                <w:i/>
                <w:iCs/>
                <w:color w:val="404040" w:themeColor="text1" w:themeTint="BF"/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Анализируя публикуемые проекты, можно выделить ряд типовых ошибок, которые допускают публично-правовые образования на этапе подготовки и проведения конкурса, среди которых: установление требований к участникам конкурса, не соответствующих требованиям закона о концессионных соглашениях, неверное использование программы по расчету дисконтированной валовой выручки для определения победителя концессионного конкурса и другие. Существует также набор стандартных ошибок, которые допускаются в самих концессионных соглашениях: формальное описание объекта соглашения, существенные условия соглашения противоречат требованиям закона, не определен порядок возмещения расходов концессионера при расторжении соглашения.</w:t>
            </w:r>
          </w:p>
          <w:p w14:paraId="18C9710D" w14:textId="77777777" w:rsidR="00044886" w:rsidRPr="004679FD" w:rsidRDefault="00044886" w:rsidP="004F2992">
            <w:pPr>
              <w:ind w:firstLine="720"/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 xml:space="preserve">Каким образом сделать эффективнее подготовку и структурирование муниципальных концессионных проектов в сфере ЖКХ и минимизировать риски партнеров уже на </w:t>
            </w:r>
            <w:proofErr w:type="spellStart"/>
            <w:r w:rsidRPr="004679FD">
              <w:rPr>
                <w:sz w:val="24"/>
                <w:szCs w:val="24"/>
              </w:rPr>
              <w:t>предыинвестиционном</w:t>
            </w:r>
            <w:proofErr w:type="spellEnd"/>
            <w:r w:rsidRPr="004679FD">
              <w:rPr>
                <w:sz w:val="24"/>
                <w:szCs w:val="24"/>
              </w:rPr>
              <w:t xml:space="preserve"> этапе – профессиональный обзор лидеров рынка и регуляторов отрасли.</w:t>
            </w:r>
          </w:p>
          <w:p w14:paraId="651A4E8C" w14:textId="77777777" w:rsidR="004F2992" w:rsidRPr="004679FD" w:rsidRDefault="004F2992" w:rsidP="001C0275">
            <w:pPr>
              <w:rPr>
                <w:b/>
                <w:sz w:val="24"/>
                <w:szCs w:val="24"/>
              </w:rPr>
            </w:pPr>
          </w:p>
        </w:tc>
      </w:tr>
      <w:tr w:rsidR="00044886" w:rsidRPr="004679FD" w14:paraId="4182A76F" w14:textId="77777777" w:rsidTr="005C7D3B">
        <w:tc>
          <w:tcPr>
            <w:tcW w:w="2547" w:type="dxa"/>
          </w:tcPr>
          <w:p w14:paraId="7CB394D9" w14:textId="77777777" w:rsidR="00044886" w:rsidRPr="004679FD" w:rsidRDefault="00044886" w:rsidP="005C7D3B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15:30 – 17:30</w:t>
            </w:r>
          </w:p>
          <w:p w14:paraId="10624F55" w14:textId="77777777" w:rsidR="00044886" w:rsidRPr="004679FD" w:rsidRDefault="00044886" w:rsidP="005C7D3B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Стеклянный зал</w:t>
            </w:r>
          </w:p>
        </w:tc>
        <w:tc>
          <w:tcPr>
            <w:tcW w:w="7342" w:type="dxa"/>
          </w:tcPr>
          <w:p w14:paraId="268A2528" w14:textId="77777777" w:rsidR="00044886" w:rsidRPr="004679FD" w:rsidRDefault="00044886" w:rsidP="005C7D3B">
            <w:pPr>
              <w:rPr>
                <w:sz w:val="24"/>
                <w:szCs w:val="24"/>
                <w:u w:val="single"/>
              </w:rPr>
            </w:pPr>
            <w:r w:rsidRPr="004679FD">
              <w:rPr>
                <w:sz w:val="24"/>
                <w:szCs w:val="24"/>
                <w:u w:val="single"/>
              </w:rPr>
              <w:t>Круглый стол</w:t>
            </w:r>
          </w:p>
          <w:p w14:paraId="1CC028A1" w14:textId="72006BFA" w:rsidR="00044886" w:rsidRPr="004679FD" w:rsidRDefault="00044886" w:rsidP="005C7D3B">
            <w:pPr>
              <w:rPr>
                <w:b/>
                <w:sz w:val="24"/>
                <w:szCs w:val="24"/>
              </w:rPr>
            </w:pPr>
            <w:r w:rsidRPr="004679FD">
              <w:rPr>
                <w:b/>
                <w:sz w:val="24"/>
                <w:szCs w:val="24"/>
              </w:rPr>
              <w:t>«Роль ГЧП в новой модели рын</w:t>
            </w:r>
            <w:r w:rsidR="00C62634" w:rsidRPr="004679FD">
              <w:rPr>
                <w:b/>
                <w:sz w:val="24"/>
                <w:szCs w:val="24"/>
              </w:rPr>
              <w:t>ка обращения с ТБ</w:t>
            </w:r>
            <w:r w:rsidRPr="004679FD">
              <w:rPr>
                <w:b/>
                <w:sz w:val="24"/>
                <w:szCs w:val="24"/>
              </w:rPr>
              <w:t>О»</w:t>
            </w:r>
          </w:p>
          <w:p w14:paraId="12E36BB4" w14:textId="77777777" w:rsidR="00044886" w:rsidRPr="004679FD" w:rsidRDefault="00044886" w:rsidP="005C7D3B">
            <w:pPr>
              <w:rPr>
                <w:b/>
                <w:sz w:val="24"/>
                <w:szCs w:val="24"/>
              </w:rPr>
            </w:pPr>
          </w:p>
          <w:p w14:paraId="39A7893F" w14:textId="2031F7FF" w:rsidR="00044886" w:rsidRPr="004679FD" w:rsidRDefault="00044886" w:rsidP="004F2992">
            <w:pPr>
              <w:ind w:firstLine="720"/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На текущий момент рынок твердых коммунальных отходов регламентируется Федеральным законом 458-ФЗ, в рамках которого формируется н</w:t>
            </w:r>
            <w:r w:rsidR="00C62634" w:rsidRPr="004679FD">
              <w:rPr>
                <w:sz w:val="24"/>
                <w:szCs w:val="24"/>
              </w:rPr>
              <w:t>овая модель рынка обращения с ТБ</w:t>
            </w:r>
            <w:r w:rsidRPr="004679FD">
              <w:rPr>
                <w:sz w:val="24"/>
                <w:szCs w:val="24"/>
              </w:rPr>
              <w:t>О.</w:t>
            </w:r>
          </w:p>
          <w:p w14:paraId="6B48F9D8" w14:textId="03FE005E" w:rsidR="00044886" w:rsidRPr="004679FD" w:rsidRDefault="00044886" w:rsidP="004F2992">
            <w:pPr>
              <w:ind w:firstLine="720"/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 xml:space="preserve">В ее развитие в сфере ГЧП должны заработать два эффективных инструмента: концессия с возможностью платы </w:t>
            </w:r>
            <w:proofErr w:type="spellStart"/>
            <w:r w:rsidRPr="004679FD">
              <w:rPr>
                <w:sz w:val="24"/>
                <w:szCs w:val="24"/>
              </w:rPr>
              <w:t>концедента</w:t>
            </w:r>
            <w:proofErr w:type="spellEnd"/>
            <w:r w:rsidRPr="004679FD">
              <w:rPr>
                <w:sz w:val="24"/>
                <w:szCs w:val="24"/>
              </w:rPr>
              <w:t xml:space="preserve"> и соглашения о ГЧП в соответствии с новым зак</w:t>
            </w:r>
            <w:r w:rsidR="00C62634" w:rsidRPr="004679FD">
              <w:rPr>
                <w:sz w:val="24"/>
                <w:szCs w:val="24"/>
              </w:rPr>
              <w:t>оном, где объекты обращения с ТБ</w:t>
            </w:r>
            <w:r w:rsidRPr="004679FD">
              <w:rPr>
                <w:sz w:val="24"/>
                <w:szCs w:val="24"/>
              </w:rPr>
              <w:t>О также могут являться объектами соглашения.</w:t>
            </w:r>
          </w:p>
          <w:p w14:paraId="69A5CA01" w14:textId="77777777" w:rsidR="00044886" w:rsidRPr="004679FD" w:rsidRDefault="00044886" w:rsidP="004F2992">
            <w:pPr>
              <w:ind w:firstLine="720"/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 xml:space="preserve">При этом наболевшим вопросом остается вопрос финансирования такого рода проектов. На текущий день набирает популярность механизм использования «инфраструктурных» облигаций – в регионах реализуются порядка десяти проектов, Какие дополнительные возможности открывает для финансирования таких </w:t>
            </w:r>
            <w:proofErr w:type="spellStart"/>
            <w:r w:rsidRPr="004679FD">
              <w:rPr>
                <w:sz w:val="24"/>
                <w:szCs w:val="24"/>
              </w:rPr>
              <w:t>капиталемких</w:t>
            </w:r>
            <w:proofErr w:type="spellEnd"/>
            <w:r w:rsidRPr="004679FD">
              <w:rPr>
                <w:sz w:val="24"/>
                <w:szCs w:val="24"/>
              </w:rPr>
              <w:t xml:space="preserve"> и социально-значимых проектов предусматривает концессионное законодательство и законодательство о ГЧП?</w:t>
            </w:r>
          </w:p>
          <w:p w14:paraId="6A545D0D" w14:textId="573D26F5" w:rsidR="00044886" w:rsidRPr="00E368C1" w:rsidRDefault="00044886" w:rsidP="00E368C1">
            <w:pPr>
              <w:jc w:val="both"/>
              <w:rPr>
                <w:sz w:val="24"/>
                <w:szCs w:val="24"/>
              </w:rPr>
            </w:pPr>
          </w:p>
        </w:tc>
      </w:tr>
      <w:tr w:rsidR="00EC045F" w:rsidRPr="004679FD" w14:paraId="54AFB88E" w14:textId="77777777" w:rsidTr="005C7D3B">
        <w:tc>
          <w:tcPr>
            <w:tcW w:w="2547" w:type="dxa"/>
          </w:tcPr>
          <w:p w14:paraId="324FFCB3" w14:textId="77777777" w:rsidR="00425439" w:rsidRPr="004679FD" w:rsidRDefault="00425439" w:rsidP="00425439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15:30 – 17:30</w:t>
            </w:r>
          </w:p>
          <w:p w14:paraId="1615E349" w14:textId="60C352AF" w:rsidR="00EC045F" w:rsidRPr="004679FD" w:rsidRDefault="00425439" w:rsidP="00425439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Президентский зал</w:t>
            </w:r>
          </w:p>
        </w:tc>
        <w:tc>
          <w:tcPr>
            <w:tcW w:w="7342" w:type="dxa"/>
          </w:tcPr>
          <w:p w14:paraId="2E8F0E7D" w14:textId="65079168" w:rsidR="00242589" w:rsidRPr="004679FD" w:rsidRDefault="00425439" w:rsidP="005547FB">
            <w:pPr>
              <w:rPr>
                <w:sz w:val="24"/>
                <w:szCs w:val="24"/>
                <w:u w:val="single"/>
              </w:rPr>
            </w:pPr>
            <w:r w:rsidRPr="004679FD">
              <w:rPr>
                <w:sz w:val="24"/>
                <w:szCs w:val="24"/>
                <w:u w:val="single"/>
              </w:rPr>
              <w:t>Открытая дискуссия</w:t>
            </w:r>
          </w:p>
          <w:p w14:paraId="412B93CC" w14:textId="40755438" w:rsidR="00242589" w:rsidRPr="004679FD" w:rsidRDefault="00425439" w:rsidP="005547FB">
            <w:pPr>
              <w:rPr>
                <w:b/>
                <w:sz w:val="24"/>
                <w:szCs w:val="24"/>
              </w:rPr>
            </w:pPr>
            <w:r w:rsidRPr="004679FD">
              <w:rPr>
                <w:b/>
                <w:sz w:val="24"/>
                <w:szCs w:val="24"/>
              </w:rPr>
              <w:t>«</w:t>
            </w:r>
            <w:r w:rsidR="00242589" w:rsidRPr="004679FD">
              <w:rPr>
                <w:b/>
                <w:sz w:val="24"/>
                <w:szCs w:val="24"/>
              </w:rPr>
              <w:t>ГЧП в электроэнергетике</w:t>
            </w:r>
            <w:r w:rsidRPr="004679FD">
              <w:rPr>
                <w:b/>
                <w:sz w:val="24"/>
                <w:szCs w:val="24"/>
              </w:rPr>
              <w:t>»</w:t>
            </w:r>
          </w:p>
          <w:p w14:paraId="60BD2E8D" w14:textId="37565EA3" w:rsidR="00B70A85" w:rsidRPr="004679FD" w:rsidRDefault="00B70A85" w:rsidP="001C02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</w:tbl>
    <w:p w14:paraId="4C5E181A" w14:textId="03943175" w:rsidR="00044886" w:rsidRPr="004679FD" w:rsidRDefault="00044886">
      <w:pPr>
        <w:rPr>
          <w:lang w:val="en-US"/>
        </w:rPr>
      </w:pPr>
      <w:r w:rsidRPr="004679FD">
        <w:rPr>
          <w:lang w:val="en-US"/>
        </w:rPr>
        <w:br w:type="page"/>
      </w:r>
    </w:p>
    <w:tbl>
      <w:tblPr>
        <w:tblStyle w:val="a6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547"/>
        <w:gridCol w:w="7342"/>
      </w:tblGrid>
      <w:tr w:rsidR="00A020FF" w:rsidRPr="004679FD" w14:paraId="2383696E" w14:textId="77777777" w:rsidTr="00A020FF">
        <w:tc>
          <w:tcPr>
            <w:tcW w:w="9889" w:type="dxa"/>
            <w:gridSpan w:val="2"/>
          </w:tcPr>
          <w:p w14:paraId="172C42B8" w14:textId="77777777" w:rsidR="00A020FF" w:rsidRPr="004679FD" w:rsidRDefault="00A020FF" w:rsidP="00A020FF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18084B6A" w14:textId="77777777" w:rsidR="00A020FF" w:rsidRPr="004679FD" w:rsidRDefault="00A020FF" w:rsidP="00A020FF">
            <w:pPr>
              <w:jc w:val="center"/>
              <w:rPr>
                <w:sz w:val="24"/>
                <w:szCs w:val="24"/>
                <w:u w:val="single"/>
              </w:rPr>
            </w:pPr>
            <w:r w:rsidRPr="004679FD">
              <w:rPr>
                <w:sz w:val="24"/>
                <w:szCs w:val="24"/>
                <w:u w:val="single"/>
              </w:rPr>
              <w:t>Четверг, 31 марта 2016 года</w:t>
            </w:r>
          </w:p>
          <w:p w14:paraId="1141D3D3" w14:textId="77777777" w:rsidR="00A020FF" w:rsidRPr="004679FD" w:rsidRDefault="00A020FF" w:rsidP="00A020FF">
            <w:pPr>
              <w:jc w:val="center"/>
              <w:rPr>
                <w:b/>
                <w:sz w:val="24"/>
                <w:szCs w:val="24"/>
              </w:rPr>
            </w:pPr>
            <w:r w:rsidRPr="004679FD">
              <w:rPr>
                <w:b/>
                <w:sz w:val="24"/>
                <w:szCs w:val="24"/>
              </w:rPr>
              <w:t>ТРЕТИЙ ДЕНЬ ФОРУМА</w:t>
            </w:r>
          </w:p>
          <w:p w14:paraId="25680B3A" w14:textId="77777777" w:rsidR="00A020FF" w:rsidRPr="004679FD" w:rsidRDefault="00A020FF" w:rsidP="00A020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020FF" w:rsidRPr="004679FD" w14:paraId="0CCE2541" w14:textId="77777777" w:rsidTr="00A020FF">
        <w:tc>
          <w:tcPr>
            <w:tcW w:w="2547" w:type="dxa"/>
          </w:tcPr>
          <w:p w14:paraId="03706962" w14:textId="77777777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  <w:shd w:val="clear" w:color="auto" w:fill="FFFFFF"/>
              </w:rPr>
              <w:t>9:00 – 10:00</w:t>
            </w:r>
          </w:p>
        </w:tc>
        <w:tc>
          <w:tcPr>
            <w:tcW w:w="7342" w:type="dxa"/>
          </w:tcPr>
          <w:p w14:paraId="0A878A37" w14:textId="77777777" w:rsidR="00A020FF" w:rsidRPr="004679FD" w:rsidRDefault="00A020FF" w:rsidP="00A020FF">
            <w:pPr>
              <w:jc w:val="both"/>
              <w:rPr>
                <w:b/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Регистрация, утренний кофе.</w:t>
            </w:r>
          </w:p>
        </w:tc>
      </w:tr>
      <w:tr w:rsidR="00A020FF" w:rsidRPr="004679FD" w14:paraId="038846CA" w14:textId="77777777" w:rsidTr="00A020FF">
        <w:tc>
          <w:tcPr>
            <w:tcW w:w="2547" w:type="dxa"/>
          </w:tcPr>
          <w:p w14:paraId="5B77F276" w14:textId="77777777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10:00 – 12:00</w:t>
            </w:r>
          </w:p>
          <w:p w14:paraId="239D71C6" w14:textId="77777777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Большой зал</w:t>
            </w:r>
          </w:p>
        </w:tc>
        <w:tc>
          <w:tcPr>
            <w:tcW w:w="7342" w:type="dxa"/>
          </w:tcPr>
          <w:p w14:paraId="6A226D14" w14:textId="77777777" w:rsidR="00A020FF" w:rsidRPr="004679FD" w:rsidRDefault="00A020FF" w:rsidP="00A020FF">
            <w:pPr>
              <w:jc w:val="both"/>
              <w:rPr>
                <w:sz w:val="24"/>
                <w:szCs w:val="24"/>
                <w:u w:val="single"/>
              </w:rPr>
            </w:pPr>
            <w:r w:rsidRPr="004679FD">
              <w:rPr>
                <w:sz w:val="24"/>
                <w:szCs w:val="24"/>
                <w:u w:val="single"/>
              </w:rPr>
              <w:t>Пленарное заседание</w:t>
            </w:r>
          </w:p>
          <w:p w14:paraId="45BF824A" w14:textId="77777777" w:rsidR="00A020FF" w:rsidRPr="004679FD" w:rsidRDefault="00A020FF" w:rsidP="00A020FF">
            <w:pPr>
              <w:jc w:val="both"/>
              <w:rPr>
                <w:b/>
                <w:sz w:val="24"/>
                <w:szCs w:val="24"/>
              </w:rPr>
            </w:pPr>
            <w:r w:rsidRPr="004679FD">
              <w:rPr>
                <w:b/>
                <w:sz w:val="24"/>
                <w:szCs w:val="24"/>
              </w:rPr>
              <w:t>«ГЧП в социальной сфере: качество услуги и источники возврата инвестиций»</w:t>
            </w:r>
          </w:p>
          <w:p w14:paraId="5EF62B8B" w14:textId="77777777" w:rsidR="00A020FF" w:rsidRPr="004679FD" w:rsidRDefault="00A020FF" w:rsidP="00A020FF">
            <w:pPr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 xml:space="preserve">Интерес к реализации проектов ГЧП в социально-значимых отраслях (здравоохранение, образование, социальное обслуживание населения, культура, спорт и туризм) на сегодняшний день существенно возрастает. Это также обусловлено вступлением в силу Федерального закона «О государственно-частном партнерстве и </w:t>
            </w:r>
            <w:proofErr w:type="spellStart"/>
            <w:r w:rsidRPr="004679FD">
              <w:rPr>
                <w:sz w:val="24"/>
                <w:szCs w:val="24"/>
              </w:rPr>
              <w:t>муниципально</w:t>
            </w:r>
            <w:proofErr w:type="spellEnd"/>
            <w:r w:rsidRPr="004679FD">
              <w:rPr>
                <w:sz w:val="24"/>
                <w:szCs w:val="24"/>
              </w:rPr>
              <w:t>-частном партнерстве в Российской Федерации», который должен открыть новые возможности для реализации проектов ГЧП в социальной сфере.</w:t>
            </w:r>
          </w:p>
          <w:p w14:paraId="24F16B75" w14:textId="77777777" w:rsidR="00A020FF" w:rsidRPr="004679FD" w:rsidRDefault="00A020FF" w:rsidP="00A020FF">
            <w:pPr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Для инвесторов – компаний негосударственного сектора в социальной сфере в первую очередь важны источники возврата инвестиций в проекты ГЧП, которые могут быть обеспечены в том числе за счет государственных вложений. Государство и население волнует качество услуг – привлекая частные инвестиции и компетенции идет расчет на повышение уровня обслуживания в вопросах здравоохранения, образования, организации досуга.</w:t>
            </w:r>
          </w:p>
          <w:p w14:paraId="5CB439EC" w14:textId="77777777" w:rsidR="00A020FF" w:rsidRPr="004679FD" w:rsidRDefault="00A020FF" w:rsidP="00A020FF">
            <w:pPr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Лучшие федеральные и региональные практики поиска баланса интересов каждой стороны при реализации проектов ГЧП в социальной сфере и обеспечения привлекательной для инвесторов и операторов среды будут представлены в рамках пленарного заседания.</w:t>
            </w:r>
          </w:p>
          <w:p w14:paraId="3691697A" w14:textId="600C7745" w:rsidR="00A020FF" w:rsidRPr="004679FD" w:rsidRDefault="00A020FF" w:rsidP="00A020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020FF" w:rsidRPr="004679FD" w14:paraId="61BC1663" w14:textId="77777777" w:rsidTr="00A020FF">
        <w:tc>
          <w:tcPr>
            <w:tcW w:w="2547" w:type="dxa"/>
          </w:tcPr>
          <w:p w14:paraId="1E106237" w14:textId="1A017E44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  <w:shd w:val="clear" w:color="auto" w:fill="FFFFFF"/>
              </w:rPr>
              <w:t>12:00 – 12:30</w:t>
            </w:r>
          </w:p>
        </w:tc>
        <w:tc>
          <w:tcPr>
            <w:tcW w:w="7342" w:type="dxa"/>
          </w:tcPr>
          <w:p w14:paraId="75949F9C" w14:textId="77777777" w:rsidR="00A020FF" w:rsidRPr="004679FD" w:rsidRDefault="00A020FF" w:rsidP="00A020FF">
            <w:pPr>
              <w:jc w:val="both"/>
              <w:rPr>
                <w:b/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Кофе-брейк</w:t>
            </w:r>
          </w:p>
        </w:tc>
      </w:tr>
      <w:tr w:rsidR="00A020FF" w:rsidRPr="004679FD" w14:paraId="0EFA8340" w14:textId="77777777" w:rsidTr="00A020FF">
        <w:tc>
          <w:tcPr>
            <w:tcW w:w="2547" w:type="dxa"/>
          </w:tcPr>
          <w:p w14:paraId="07B3B167" w14:textId="77777777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12:30 – 14:30</w:t>
            </w:r>
          </w:p>
          <w:p w14:paraId="13A9834E" w14:textId="77777777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Большой зал</w:t>
            </w:r>
          </w:p>
        </w:tc>
        <w:tc>
          <w:tcPr>
            <w:tcW w:w="7342" w:type="dxa"/>
          </w:tcPr>
          <w:p w14:paraId="691EF45E" w14:textId="77777777" w:rsidR="00A020FF" w:rsidRPr="004679FD" w:rsidRDefault="00A020FF" w:rsidP="00A020FF">
            <w:pPr>
              <w:jc w:val="both"/>
              <w:rPr>
                <w:sz w:val="24"/>
                <w:szCs w:val="24"/>
                <w:u w:val="single"/>
              </w:rPr>
            </w:pPr>
            <w:r w:rsidRPr="004679FD">
              <w:rPr>
                <w:sz w:val="24"/>
                <w:szCs w:val="24"/>
                <w:u w:val="single"/>
              </w:rPr>
              <w:t>Панельная дискуссия</w:t>
            </w:r>
          </w:p>
          <w:p w14:paraId="63919A5B" w14:textId="77777777" w:rsidR="00A020FF" w:rsidRPr="004679FD" w:rsidRDefault="00A020FF" w:rsidP="00A020FF">
            <w:pPr>
              <w:jc w:val="both"/>
              <w:rPr>
                <w:b/>
                <w:sz w:val="24"/>
                <w:szCs w:val="24"/>
              </w:rPr>
            </w:pPr>
            <w:r w:rsidRPr="004679FD">
              <w:rPr>
                <w:b/>
                <w:sz w:val="24"/>
                <w:szCs w:val="24"/>
              </w:rPr>
              <w:t>ГЧП в здравоохранении: практики реализации инфраструктурных проектов</w:t>
            </w:r>
          </w:p>
          <w:p w14:paraId="63DB7796" w14:textId="77777777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На сегодняшний день здравоохранение одна из наиболее востребованных отраслей для привлечения частных инвестиций в модернизацию инфраструктуры на принципах государственно-частного партнерства. За последние годы накоплен существенный опыт структурирования проектов на основе концессионных соглашений, реализуются несколько проектов на основе регионального законодательства о ГЧП. В частности реализуются капиталоемкие отраслевые проекты в Московской и Ленинградской областях, в конце 2015 года состоялось коммерческое закрытие первой федеральной концессии в здравоохранении.</w:t>
            </w:r>
          </w:p>
          <w:p w14:paraId="7587B039" w14:textId="77777777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В рамках панельной дискуссии будут представлены проекты ГЧП в здравоохранении находящиеся в стадии подготовки или реализации для целей обмена опытом структурирования проектов и обсуждения ключевых нюансов, возникающих в ходе реализации проектов.</w:t>
            </w:r>
          </w:p>
          <w:p w14:paraId="718068C6" w14:textId="77777777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 xml:space="preserve">Участники дискуссии презентуют проекты, которые реализуются на региональном уровне и ответят на вопросы экспертов и заинтересованных сторон. </w:t>
            </w:r>
          </w:p>
          <w:p w14:paraId="2884F011" w14:textId="77777777" w:rsidR="00A020FF" w:rsidRPr="004679FD" w:rsidRDefault="00A020FF" w:rsidP="001C027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020FF" w:rsidRPr="004679FD" w14:paraId="4386F159" w14:textId="77777777" w:rsidTr="00A020FF">
        <w:tc>
          <w:tcPr>
            <w:tcW w:w="2547" w:type="dxa"/>
          </w:tcPr>
          <w:p w14:paraId="3B89D986" w14:textId="77777777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12:30 – 14:30</w:t>
            </w:r>
          </w:p>
          <w:p w14:paraId="326AAC68" w14:textId="77777777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Стеклянный зал</w:t>
            </w:r>
          </w:p>
        </w:tc>
        <w:tc>
          <w:tcPr>
            <w:tcW w:w="7342" w:type="dxa"/>
          </w:tcPr>
          <w:p w14:paraId="4164CEEC" w14:textId="77777777" w:rsidR="00A020FF" w:rsidRPr="004679FD" w:rsidRDefault="00A020FF" w:rsidP="00A020FF">
            <w:pPr>
              <w:jc w:val="both"/>
              <w:rPr>
                <w:sz w:val="24"/>
                <w:szCs w:val="24"/>
                <w:u w:val="single"/>
              </w:rPr>
            </w:pPr>
            <w:r w:rsidRPr="004679FD">
              <w:rPr>
                <w:sz w:val="24"/>
                <w:szCs w:val="24"/>
                <w:u w:val="single"/>
              </w:rPr>
              <w:t>Открытая дискуссия</w:t>
            </w:r>
          </w:p>
          <w:p w14:paraId="536315F7" w14:textId="77777777" w:rsidR="00A020FF" w:rsidRPr="004679FD" w:rsidRDefault="00A020FF" w:rsidP="00A020FF">
            <w:pPr>
              <w:jc w:val="both"/>
              <w:rPr>
                <w:b/>
                <w:sz w:val="24"/>
                <w:szCs w:val="24"/>
              </w:rPr>
            </w:pPr>
            <w:r w:rsidRPr="004679FD">
              <w:rPr>
                <w:b/>
                <w:sz w:val="24"/>
                <w:szCs w:val="24"/>
              </w:rPr>
              <w:t>«Драйверы развития рынка услуг социального обслуживания пожилого населения в новой экономической реальности»</w:t>
            </w:r>
          </w:p>
          <w:p w14:paraId="1B4E8398" w14:textId="77777777" w:rsidR="00A020FF" w:rsidRPr="004679FD" w:rsidRDefault="00A020FF" w:rsidP="00A020FF">
            <w:pPr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 xml:space="preserve">В России появляются первые примеры организации центров и пансионатов для проживания пожилых граждан на принципах государственно-частного партнерства, формируется рынок частных операторов данных услуг, Федеральным законом №442 «О социальном обслуживании» устанавливаются новые правила игры для компаний-негосударственного сектора, оказывающие услуги в сфере социального обслуживания населения. </w:t>
            </w:r>
          </w:p>
          <w:p w14:paraId="2E1B100C" w14:textId="77777777" w:rsidR="00A020FF" w:rsidRPr="004679FD" w:rsidRDefault="00A020FF" w:rsidP="00A020FF">
            <w:pPr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 xml:space="preserve">Ключевые вопросы для реализации проектов создания центров оказания услуг для пожилых людей – покупательская способность населения в отношении данного вида услуг и заинтересованность публичной стороны в реализации таких проектов на региональном и муниципальном уровне. </w:t>
            </w:r>
          </w:p>
          <w:p w14:paraId="5F436E2E" w14:textId="77777777" w:rsidR="00A020FF" w:rsidRPr="004679FD" w:rsidRDefault="00A020FF" w:rsidP="00A020FF">
            <w:pPr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Точки соприкосновения, поиск оптимальной модели взаимодействия частной и публичной сторон, а также возможности тиражирования таких проектов предлагается обсудить в рамках открытой дискуссии, где будет услышано мнение и бизнеса и государства.</w:t>
            </w:r>
          </w:p>
          <w:p w14:paraId="0D10407F" w14:textId="59486BFB" w:rsidR="00A020FF" w:rsidRPr="004679FD" w:rsidRDefault="00A020FF" w:rsidP="00A020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020FF" w:rsidRPr="004679FD" w14:paraId="6ED19C4E" w14:textId="77777777" w:rsidTr="00A020FF">
        <w:tc>
          <w:tcPr>
            <w:tcW w:w="2547" w:type="dxa"/>
          </w:tcPr>
          <w:p w14:paraId="2AE5B96D" w14:textId="77777777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12:30 – 14:30</w:t>
            </w:r>
          </w:p>
          <w:p w14:paraId="4A07591F" w14:textId="77777777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Президентский зал</w:t>
            </w:r>
          </w:p>
        </w:tc>
        <w:tc>
          <w:tcPr>
            <w:tcW w:w="7342" w:type="dxa"/>
          </w:tcPr>
          <w:p w14:paraId="16F2E1E4" w14:textId="5FB9F7EB" w:rsidR="00A020FF" w:rsidRPr="004679FD" w:rsidRDefault="001C0275" w:rsidP="00A020FF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Открытое</w:t>
            </w:r>
            <w:r w:rsidR="00A020FF" w:rsidRPr="004679FD">
              <w:rPr>
                <w:sz w:val="24"/>
                <w:szCs w:val="24"/>
                <w:u w:val="single"/>
              </w:rPr>
              <w:t xml:space="preserve"> заседание</w:t>
            </w:r>
          </w:p>
          <w:p w14:paraId="7ED0A351" w14:textId="49B9945D" w:rsidR="00A020FF" w:rsidRPr="004679FD" w:rsidRDefault="004D4B91" w:rsidP="00A020FF">
            <w:pPr>
              <w:jc w:val="both"/>
              <w:rPr>
                <w:b/>
                <w:sz w:val="24"/>
                <w:szCs w:val="24"/>
              </w:rPr>
            </w:pPr>
            <w:r w:rsidRPr="004679FD">
              <w:rPr>
                <w:b/>
                <w:sz w:val="24"/>
                <w:szCs w:val="24"/>
              </w:rPr>
              <w:t>Координационного</w:t>
            </w:r>
            <w:r w:rsidR="00A020FF" w:rsidRPr="004679FD">
              <w:rPr>
                <w:b/>
                <w:sz w:val="24"/>
                <w:szCs w:val="24"/>
              </w:rPr>
              <w:t xml:space="preserve"> совет</w:t>
            </w:r>
            <w:r w:rsidRPr="004679FD">
              <w:rPr>
                <w:b/>
                <w:sz w:val="24"/>
                <w:szCs w:val="24"/>
              </w:rPr>
              <w:t>а</w:t>
            </w:r>
            <w:r w:rsidR="00A020FF" w:rsidRPr="004679FD">
              <w:rPr>
                <w:b/>
                <w:sz w:val="24"/>
                <w:szCs w:val="24"/>
              </w:rPr>
              <w:t xml:space="preserve"> </w:t>
            </w:r>
            <w:r w:rsidRPr="004679FD">
              <w:rPr>
                <w:b/>
                <w:sz w:val="24"/>
                <w:szCs w:val="24"/>
              </w:rPr>
              <w:t>АСИ и Деловой России</w:t>
            </w:r>
            <w:r w:rsidR="00A020FF" w:rsidRPr="004679FD">
              <w:rPr>
                <w:b/>
                <w:sz w:val="24"/>
                <w:szCs w:val="24"/>
              </w:rPr>
              <w:t xml:space="preserve"> по развитию негосударствен</w:t>
            </w:r>
            <w:r w:rsidR="009A47FC">
              <w:rPr>
                <w:b/>
                <w:sz w:val="24"/>
                <w:szCs w:val="24"/>
              </w:rPr>
              <w:t>ного сектора в социальной сфере</w:t>
            </w:r>
          </w:p>
          <w:p w14:paraId="2516632C" w14:textId="216F6565" w:rsidR="00A020FF" w:rsidRPr="004679FD" w:rsidRDefault="00A020FF" w:rsidP="00A020FF">
            <w:pPr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 xml:space="preserve">В рамках инфраструктурного конгресса «Российская неделя ГЧП – 2015» был создан координационных совет </w:t>
            </w:r>
            <w:r w:rsidR="004D4B91" w:rsidRPr="004679FD">
              <w:rPr>
                <w:sz w:val="24"/>
                <w:szCs w:val="24"/>
              </w:rPr>
              <w:t xml:space="preserve">Деловой России и АСИ </w:t>
            </w:r>
            <w:r w:rsidRPr="004679FD">
              <w:rPr>
                <w:sz w:val="24"/>
                <w:szCs w:val="24"/>
              </w:rPr>
              <w:t>по развитию негосударственного сектора в социальной, задачей которого является создание условий по привлечению частных компаний для оказа</w:t>
            </w:r>
            <w:r w:rsidR="004D4B91" w:rsidRPr="004679FD">
              <w:rPr>
                <w:sz w:val="24"/>
                <w:szCs w:val="24"/>
              </w:rPr>
              <w:t>ния услуг в социальном секторе.</w:t>
            </w:r>
          </w:p>
          <w:p w14:paraId="66E7557D" w14:textId="3CFFD832" w:rsidR="00A020FF" w:rsidRPr="004679FD" w:rsidRDefault="007D7336" w:rsidP="00A020FF">
            <w:pPr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На заседании</w:t>
            </w:r>
            <w:r w:rsidR="004D4B91" w:rsidRPr="004679FD">
              <w:rPr>
                <w:sz w:val="24"/>
                <w:szCs w:val="24"/>
              </w:rPr>
              <w:t xml:space="preserve"> члены</w:t>
            </w:r>
            <w:r w:rsidR="00A020FF" w:rsidRPr="004679FD">
              <w:rPr>
                <w:sz w:val="24"/>
                <w:szCs w:val="24"/>
              </w:rPr>
              <w:t xml:space="preserve"> координационного </w:t>
            </w:r>
            <w:r w:rsidR="009A47FC">
              <w:rPr>
                <w:sz w:val="24"/>
                <w:szCs w:val="24"/>
              </w:rPr>
              <w:t>совета</w:t>
            </w:r>
            <w:r w:rsidR="00A020FF" w:rsidRPr="004679FD">
              <w:rPr>
                <w:sz w:val="24"/>
                <w:szCs w:val="24"/>
              </w:rPr>
              <w:t xml:space="preserve"> </w:t>
            </w:r>
            <w:r w:rsidR="004D4B91" w:rsidRPr="004679FD">
              <w:rPr>
                <w:sz w:val="24"/>
                <w:szCs w:val="24"/>
              </w:rPr>
              <w:t>обсудят</w:t>
            </w:r>
            <w:r w:rsidR="00A020FF" w:rsidRPr="004679FD">
              <w:rPr>
                <w:sz w:val="24"/>
                <w:szCs w:val="24"/>
              </w:rPr>
              <w:t xml:space="preserve"> перспективны</w:t>
            </w:r>
            <w:r w:rsidR="004D4B91" w:rsidRPr="004679FD">
              <w:rPr>
                <w:sz w:val="24"/>
                <w:szCs w:val="24"/>
              </w:rPr>
              <w:t>е</w:t>
            </w:r>
            <w:r w:rsidR="00A020FF" w:rsidRPr="004679FD">
              <w:rPr>
                <w:sz w:val="24"/>
                <w:szCs w:val="24"/>
              </w:rPr>
              <w:t xml:space="preserve"> подход</w:t>
            </w:r>
            <w:r w:rsidR="004D4B91" w:rsidRPr="004679FD">
              <w:rPr>
                <w:sz w:val="24"/>
                <w:szCs w:val="24"/>
              </w:rPr>
              <w:t>ы</w:t>
            </w:r>
            <w:r w:rsidR="00A020FF" w:rsidRPr="004679FD">
              <w:rPr>
                <w:sz w:val="24"/>
                <w:szCs w:val="24"/>
              </w:rPr>
              <w:t xml:space="preserve"> для запуска пилотных проектов ГЧП в приоритетных отраслях социальной сферы и определ</w:t>
            </w:r>
            <w:r w:rsidR="004D4B91" w:rsidRPr="004679FD">
              <w:rPr>
                <w:sz w:val="24"/>
                <w:szCs w:val="24"/>
              </w:rPr>
              <w:t>ят</w:t>
            </w:r>
            <w:r w:rsidR="00A020FF" w:rsidRPr="004679FD">
              <w:rPr>
                <w:sz w:val="24"/>
                <w:szCs w:val="24"/>
              </w:rPr>
              <w:t xml:space="preserve"> необходимы</w:t>
            </w:r>
            <w:r w:rsidR="004D4B91" w:rsidRPr="004679FD">
              <w:rPr>
                <w:sz w:val="24"/>
                <w:szCs w:val="24"/>
              </w:rPr>
              <w:t>е</w:t>
            </w:r>
            <w:r w:rsidR="00A020FF" w:rsidRPr="004679FD">
              <w:rPr>
                <w:sz w:val="24"/>
                <w:szCs w:val="24"/>
              </w:rPr>
              <w:t xml:space="preserve"> институциональны</w:t>
            </w:r>
            <w:r w:rsidR="004D4B91" w:rsidRPr="004679FD">
              <w:rPr>
                <w:sz w:val="24"/>
                <w:szCs w:val="24"/>
              </w:rPr>
              <w:t>е</w:t>
            </w:r>
            <w:r w:rsidR="00A020FF" w:rsidRPr="004679FD">
              <w:rPr>
                <w:sz w:val="24"/>
                <w:szCs w:val="24"/>
              </w:rPr>
              <w:t xml:space="preserve"> изменений для развития механизмов ГЧП в социальной сфере.</w:t>
            </w:r>
          </w:p>
          <w:p w14:paraId="20FB96B7" w14:textId="77777777" w:rsidR="00A020FF" w:rsidRPr="004679FD" w:rsidRDefault="00A020FF" w:rsidP="001C0275">
            <w:pPr>
              <w:jc w:val="both"/>
              <w:rPr>
                <w:sz w:val="24"/>
                <w:szCs w:val="24"/>
              </w:rPr>
            </w:pPr>
          </w:p>
        </w:tc>
      </w:tr>
      <w:tr w:rsidR="00A020FF" w:rsidRPr="004679FD" w14:paraId="280CD500" w14:textId="77777777" w:rsidTr="00A020FF">
        <w:tc>
          <w:tcPr>
            <w:tcW w:w="2547" w:type="dxa"/>
          </w:tcPr>
          <w:p w14:paraId="7A665485" w14:textId="46ECDCED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 xml:space="preserve">14:30 – 15:30 </w:t>
            </w:r>
          </w:p>
        </w:tc>
        <w:tc>
          <w:tcPr>
            <w:tcW w:w="7342" w:type="dxa"/>
          </w:tcPr>
          <w:p w14:paraId="42C559A5" w14:textId="77777777" w:rsidR="00A020FF" w:rsidRPr="004679FD" w:rsidRDefault="00A020FF" w:rsidP="00A020FF">
            <w:pPr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Обед</w:t>
            </w:r>
          </w:p>
        </w:tc>
      </w:tr>
      <w:tr w:rsidR="00A020FF" w:rsidRPr="004679FD" w14:paraId="2732A5BF" w14:textId="77777777" w:rsidTr="00A020FF">
        <w:tc>
          <w:tcPr>
            <w:tcW w:w="2547" w:type="dxa"/>
          </w:tcPr>
          <w:p w14:paraId="0F543479" w14:textId="77777777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15:30 – 17:30</w:t>
            </w:r>
          </w:p>
          <w:p w14:paraId="2C6DC6C6" w14:textId="77777777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Стеклянный зал</w:t>
            </w:r>
          </w:p>
        </w:tc>
        <w:tc>
          <w:tcPr>
            <w:tcW w:w="7342" w:type="dxa"/>
          </w:tcPr>
          <w:p w14:paraId="0A6F51FB" w14:textId="77777777" w:rsidR="00A020FF" w:rsidRPr="004679FD" w:rsidRDefault="00A020FF" w:rsidP="00A020FF">
            <w:pPr>
              <w:jc w:val="both"/>
              <w:rPr>
                <w:sz w:val="24"/>
                <w:szCs w:val="24"/>
                <w:u w:val="single"/>
              </w:rPr>
            </w:pPr>
            <w:r w:rsidRPr="004679FD">
              <w:rPr>
                <w:sz w:val="24"/>
                <w:szCs w:val="24"/>
                <w:u w:val="single"/>
              </w:rPr>
              <w:t>Круглый стол</w:t>
            </w:r>
          </w:p>
          <w:p w14:paraId="6BA8B890" w14:textId="77777777" w:rsidR="00A020FF" w:rsidRPr="004679FD" w:rsidRDefault="00A020FF" w:rsidP="00A020FF">
            <w:pPr>
              <w:jc w:val="both"/>
              <w:rPr>
                <w:b/>
                <w:sz w:val="24"/>
                <w:szCs w:val="24"/>
              </w:rPr>
            </w:pPr>
            <w:r w:rsidRPr="004679FD">
              <w:rPr>
                <w:b/>
                <w:sz w:val="24"/>
                <w:szCs w:val="24"/>
              </w:rPr>
              <w:t>«Культурные» проекты ГЧП: новая реальность»</w:t>
            </w:r>
          </w:p>
          <w:p w14:paraId="42BD56DC" w14:textId="77777777" w:rsidR="00A020FF" w:rsidRPr="004679FD" w:rsidRDefault="00A020FF" w:rsidP="00A020FF">
            <w:pPr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 xml:space="preserve">Такие объекты культуры и организации досуга, как парки, кинотеатры, библиотеки и другие общественные пространства обладают достаточным инвестиционным потенциалом, чтобы привлечь к себе внимание инвесторов. Проблема кроется в недостатке информации о возможностях реализации такого рода проектов, как для публичной, так и для частной стороны. Сейчас реализуется ряд проектов ГЧП в отрасли культурного наследия, в стадии подготовки и структурирования находятся другие «культурные инициативы», например в отраслях развитии инфраструктуры чтения и кино, что позволяет прогнозировать, что для ГЧП в культуре 2016 год сможет стать прорывным в части количества проектов. </w:t>
            </w:r>
          </w:p>
          <w:p w14:paraId="74BA1B26" w14:textId="77777777" w:rsidR="00A020FF" w:rsidRPr="004679FD" w:rsidRDefault="00A020FF" w:rsidP="00A020FF">
            <w:pPr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 xml:space="preserve">Обеспечение качества подготовки и структурирования данных проектов – системная и кропотливая задача, которой будет посвящено обсуждение в рамках круглого стола. </w:t>
            </w:r>
          </w:p>
          <w:p w14:paraId="266FB9AB" w14:textId="7C68E755" w:rsidR="00A020FF" w:rsidRPr="004679FD" w:rsidRDefault="00A020FF" w:rsidP="00A020FF">
            <w:pPr>
              <w:jc w:val="both"/>
              <w:rPr>
                <w:sz w:val="24"/>
                <w:szCs w:val="24"/>
              </w:rPr>
            </w:pPr>
          </w:p>
        </w:tc>
      </w:tr>
      <w:tr w:rsidR="00A020FF" w:rsidRPr="004679FD" w14:paraId="68839942" w14:textId="77777777" w:rsidTr="00A020FF">
        <w:tc>
          <w:tcPr>
            <w:tcW w:w="2547" w:type="dxa"/>
          </w:tcPr>
          <w:p w14:paraId="5D0D54F2" w14:textId="77777777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15:30 – 17:30</w:t>
            </w:r>
          </w:p>
          <w:p w14:paraId="6380A978" w14:textId="77777777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Президентский зал</w:t>
            </w:r>
          </w:p>
        </w:tc>
        <w:tc>
          <w:tcPr>
            <w:tcW w:w="7342" w:type="dxa"/>
          </w:tcPr>
          <w:p w14:paraId="59F24D77" w14:textId="77777777" w:rsidR="00A020FF" w:rsidRPr="004679FD" w:rsidRDefault="00A020FF" w:rsidP="00A020FF">
            <w:pPr>
              <w:jc w:val="both"/>
              <w:rPr>
                <w:sz w:val="24"/>
                <w:szCs w:val="24"/>
                <w:u w:val="single"/>
              </w:rPr>
            </w:pPr>
            <w:r w:rsidRPr="004679FD">
              <w:rPr>
                <w:sz w:val="24"/>
                <w:szCs w:val="24"/>
                <w:u w:val="single"/>
              </w:rPr>
              <w:t>Открытое заседание</w:t>
            </w:r>
          </w:p>
          <w:p w14:paraId="3F92A526" w14:textId="77777777" w:rsidR="00A020FF" w:rsidRPr="004679FD" w:rsidRDefault="00A020FF" w:rsidP="00A020FF">
            <w:pPr>
              <w:rPr>
                <w:b/>
                <w:sz w:val="24"/>
                <w:szCs w:val="24"/>
              </w:rPr>
            </w:pPr>
            <w:r w:rsidRPr="004679FD">
              <w:rPr>
                <w:b/>
                <w:sz w:val="24"/>
                <w:szCs w:val="24"/>
              </w:rPr>
              <w:t>Рабочая группа стратегической инициативы «Новое качество жизни для людей с ограниченными возможностями здоровья»</w:t>
            </w:r>
          </w:p>
          <w:p w14:paraId="77D67140" w14:textId="77777777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В соответствии с поручением Наблюдательного совета Агентства стратегических инициатив о подготовке и запуске пилотных проектов на принципах ГЧП по производству современных технических средств реабилитации было заключено многостороннее соглашение между федеральными министерствами, Агентством стратегических инициатив и Центром развития ГЧП, целью которого является консолидация усилий, направленных на создание современной отрасли производства и предоставления средств реабилитации для людей с ограниченными возможностями здоровья.</w:t>
            </w:r>
          </w:p>
          <w:p w14:paraId="78C3AB45" w14:textId="77777777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 xml:space="preserve">В рамках открытого заседания рабочей группы стратегической инициативы «Новое качество жизни» будут обсуждаться системные решения по развитию отрасли и совершенствованию механизма предоставления и обслуживания ТСР. </w:t>
            </w:r>
          </w:p>
          <w:p w14:paraId="058E5C33" w14:textId="77777777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Также в рамках заседания будет презентована модель работы информационной системы «Новое качество жизни» и первые результаты реализации отобранных пилотных проектов.</w:t>
            </w:r>
          </w:p>
          <w:p w14:paraId="20228CE3" w14:textId="5F7F9679" w:rsidR="00A020FF" w:rsidRPr="004679FD" w:rsidRDefault="00A020FF" w:rsidP="00A020FF">
            <w:pPr>
              <w:rPr>
                <w:sz w:val="24"/>
                <w:szCs w:val="24"/>
              </w:rPr>
            </w:pPr>
          </w:p>
        </w:tc>
      </w:tr>
      <w:tr w:rsidR="00925406" w:rsidRPr="004679FD" w14:paraId="4AF53031" w14:textId="77777777" w:rsidTr="00A020FF">
        <w:tc>
          <w:tcPr>
            <w:tcW w:w="2547" w:type="dxa"/>
          </w:tcPr>
          <w:p w14:paraId="54773D9A" w14:textId="77777777" w:rsidR="00925406" w:rsidRDefault="00925406" w:rsidP="00925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17:30</w:t>
            </w:r>
          </w:p>
          <w:p w14:paraId="70B612B6" w14:textId="293FFFCB" w:rsidR="00925406" w:rsidRPr="004679FD" w:rsidRDefault="00925406" w:rsidP="00925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</w:t>
            </w:r>
          </w:p>
        </w:tc>
        <w:tc>
          <w:tcPr>
            <w:tcW w:w="7342" w:type="dxa"/>
          </w:tcPr>
          <w:p w14:paraId="293ECC7F" w14:textId="47906BB4" w:rsidR="00925406" w:rsidRPr="00853DF4" w:rsidRDefault="00925406" w:rsidP="0092540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Панельная дискуссия</w:t>
            </w:r>
          </w:p>
          <w:p w14:paraId="6937DDE7" w14:textId="77777777" w:rsidR="00925406" w:rsidRDefault="00925406" w:rsidP="0092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Новые возможности государственно-частного партнерства для развития инфраструктуры спорта и туризма</w:t>
            </w:r>
          </w:p>
          <w:p w14:paraId="1F48E8D9" w14:textId="77777777" w:rsidR="00925406" w:rsidRDefault="00925406" w:rsidP="00925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спорта высоких достижений и внутреннего туризма сегодня формирует постоянный спрос на услуги физкультурно-оздоровительных учреждений, туристических и культурных центров в регионах России. Удовлетворение потребностей населения возможно исключительно за счет привлечения дополнительных инвестиций в объекты инфраструктуры спорта и туризма. За последние годы механизмы государственно-частного партнерства для реализации спортивных и туристических проектов использовались в меньшей степени, чем механизмы реализации классических инвестиционных проектов.</w:t>
            </w:r>
          </w:p>
          <w:p w14:paraId="4B197EF5" w14:textId="77777777" w:rsidR="00925406" w:rsidRDefault="00925406" w:rsidP="00925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 сейчас приходит время государству и бизнесу играть в долгую?</w:t>
            </w:r>
          </w:p>
          <w:p w14:paraId="2C286AB3" w14:textId="77777777" w:rsidR="00925406" w:rsidRDefault="00925406" w:rsidP="00925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этот вопрос предлагается найти в рамках панельной сессии, на которой инвесторы обозначат свои интересы, а публичный заказчик сформулирует параметры долгосрочного партнерства.</w:t>
            </w:r>
          </w:p>
          <w:p w14:paraId="13F8CDA0" w14:textId="3CBC7DB1" w:rsidR="00925406" w:rsidRPr="00925406" w:rsidRDefault="00925406" w:rsidP="0092540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020FF" w:rsidRPr="002748A7" w14:paraId="5220A5B4" w14:textId="77777777" w:rsidTr="00A020FF">
        <w:tc>
          <w:tcPr>
            <w:tcW w:w="2547" w:type="dxa"/>
          </w:tcPr>
          <w:p w14:paraId="1B9B6D0B" w14:textId="77777777" w:rsidR="00A020FF" w:rsidRPr="004679FD" w:rsidRDefault="00A020FF" w:rsidP="00A020FF">
            <w:pPr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17:30 – 19:00</w:t>
            </w:r>
          </w:p>
        </w:tc>
        <w:tc>
          <w:tcPr>
            <w:tcW w:w="7342" w:type="dxa"/>
          </w:tcPr>
          <w:p w14:paraId="34B30056" w14:textId="77777777" w:rsidR="00A020FF" w:rsidRPr="002748A7" w:rsidRDefault="00A020FF" w:rsidP="00A020FF">
            <w:pPr>
              <w:jc w:val="both"/>
              <w:rPr>
                <w:sz w:val="24"/>
                <w:szCs w:val="24"/>
              </w:rPr>
            </w:pPr>
            <w:r w:rsidRPr="004679FD">
              <w:rPr>
                <w:sz w:val="24"/>
                <w:szCs w:val="24"/>
              </w:rPr>
              <w:t>Фуршет, неформальное общение</w:t>
            </w:r>
          </w:p>
        </w:tc>
      </w:tr>
    </w:tbl>
    <w:p w14:paraId="1F79CB4E" w14:textId="77777777" w:rsidR="00044886" w:rsidRPr="00044886" w:rsidRDefault="00044886"/>
    <w:sectPr w:rsidR="00044886" w:rsidRPr="00044886" w:rsidSect="00C15073">
      <w:pgSz w:w="11900" w:h="16840"/>
      <w:pgMar w:top="709" w:right="1276" w:bottom="851" w:left="1276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D1B9E" w14:textId="77777777" w:rsidR="00C55E70" w:rsidRDefault="00C55E70" w:rsidP="00BC13F3">
      <w:r>
        <w:separator/>
      </w:r>
    </w:p>
  </w:endnote>
  <w:endnote w:type="continuationSeparator" w:id="0">
    <w:p w14:paraId="061AE024" w14:textId="77777777" w:rsidR="00C55E70" w:rsidRDefault="00C55E70" w:rsidP="00BC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70243" w14:textId="77777777" w:rsidR="00C55E70" w:rsidRDefault="00C55E70" w:rsidP="00BC13F3">
      <w:r>
        <w:separator/>
      </w:r>
    </w:p>
  </w:footnote>
  <w:footnote w:type="continuationSeparator" w:id="0">
    <w:p w14:paraId="53A66B04" w14:textId="77777777" w:rsidR="00C55E70" w:rsidRDefault="00C55E70" w:rsidP="00BC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57C8"/>
    <w:multiLevelType w:val="hybridMultilevel"/>
    <w:tmpl w:val="D8327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86"/>
    <w:rsid w:val="00044886"/>
    <w:rsid w:val="001122C5"/>
    <w:rsid w:val="0015126B"/>
    <w:rsid w:val="0015666E"/>
    <w:rsid w:val="001C0275"/>
    <w:rsid w:val="0021696F"/>
    <w:rsid w:val="00242589"/>
    <w:rsid w:val="00346FDD"/>
    <w:rsid w:val="00375EDF"/>
    <w:rsid w:val="003B1C78"/>
    <w:rsid w:val="00412F95"/>
    <w:rsid w:val="00424E21"/>
    <w:rsid w:val="00425439"/>
    <w:rsid w:val="004679FD"/>
    <w:rsid w:val="004D4B91"/>
    <w:rsid w:val="004F2992"/>
    <w:rsid w:val="005547FB"/>
    <w:rsid w:val="005C7D3B"/>
    <w:rsid w:val="0063290B"/>
    <w:rsid w:val="0063346F"/>
    <w:rsid w:val="006436B5"/>
    <w:rsid w:val="00714238"/>
    <w:rsid w:val="00714ECF"/>
    <w:rsid w:val="007A68C9"/>
    <w:rsid w:val="007D7336"/>
    <w:rsid w:val="007F1E62"/>
    <w:rsid w:val="0083371F"/>
    <w:rsid w:val="00850B2A"/>
    <w:rsid w:val="00883CFF"/>
    <w:rsid w:val="008D38DF"/>
    <w:rsid w:val="00925406"/>
    <w:rsid w:val="009A47FC"/>
    <w:rsid w:val="00A020FF"/>
    <w:rsid w:val="00A63579"/>
    <w:rsid w:val="00AC66DB"/>
    <w:rsid w:val="00B00099"/>
    <w:rsid w:val="00B00543"/>
    <w:rsid w:val="00B15A31"/>
    <w:rsid w:val="00B17897"/>
    <w:rsid w:val="00B274C0"/>
    <w:rsid w:val="00B70A85"/>
    <w:rsid w:val="00B85338"/>
    <w:rsid w:val="00BC13F3"/>
    <w:rsid w:val="00BD2B1A"/>
    <w:rsid w:val="00BD53F5"/>
    <w:rsid w:val="00BE1B20"/>
    <w:rsid w:val="00C15073"/>
    <w:rsid w:val="00C3107C"/>
    <w:rsid w:val="00C55E70"/>
    <w:rsid w:val="00C62634"/>
    <w:rsid w:val="00CD0502"/>
    <w:rsid w:val="00CE7656"/>
    <w:rsid w:val="00D51C3E"/>
    <w:rsid w:val="00DA05E1"/>
    <w:rsid w:val="00E368C1"/>
    <w:rsid w:val="00EB62EE"/>
    <w:rsid w:val="00EC045F"/>
    <w:rsid w:val="00ED3A68"/>
    <w:rsid w:val="00F039EF"/>
    <w:rsid w:val="00F4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ABA4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="Arial Unicode MS"/>
        <w:color w:val="000000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86"/>
    <w:rPr>
      <w:rFonts w:ascii="Times New Roman" w:hAnsi="Times New Roman" w:cs="Times New Roman"/>
      <w:sz w:val="2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1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1F"/>
    <w:rPr>
      <w:rFonts w:ascii="Lucida Grande CY" w:eastAsia="Arial Unicode MS" w:hAnsi="Lucida Grande CY" w:cs="Lucida Grande CY"/>
      <w:sz w:val="18"/>
      <w:szCs w:val="18"/>
      <w:bdr w:val="nil"/>
    </w:rPr>
  </w:style>
  <w:style w:type="paragraph" w:styleId="a5">
    <w:name w:val="List Paragraph"/>
    <w:basedOn w:val="a"/>
    <w:uiPriority w:val="34"/>
    <w:qFormat/>
    <w:rsid w:val="00044886"/>
    <w:pPr>
      <w:ind w:left="720"/>
      <w:contextualSpacing/>
    </w:pPr>
  </w:style>
  <w:style w:type="table" w:styleId="a6">
    <w:name w:val="Table Grid"/>
    <w:basedOn w:val="a1"/>
    <w:uiPriority w:val="39"/>
    <w:rsid w:val="00044886"/>
    <w:rPr>
      <w:rFonts w:eastAsia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13F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13F3"/>
    <w:rPr>
      <w:rFonts w:ascii="Times New Roman" w:hAnsi="Times New Roman" w:cs="Times New Roman"/>
      <w:sz w:val="20"/>
      <w:szCs w:val="20"/>
      <w:bdr w:val="nil"/>
    </w:rPr>
  </w:style>
  <w:style w:type="paragraph" w:styleId="a9">
    <w:name w:val="footer"/>
    <w:basedOn w:val="a"/>
    <w:link w:val="aa"/>
    <w:uiPriority w:val="99"/>
    <w:unhideWhenUsed/>
    <w:rsid w:val="00BC13F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13F3"/>
    <w:rPr>
      <w:rFonts w:ascii="Times New Roman" w:hAnsi="Times New Roman" w:cs="Times New Roman"/>
      <w:sz w:val="20"/>
      <w:szCs w:val="20"/>
      <w:bdr w:val="nil"/>
    </w:rPr>
  </w:style>
  <w:style w:type="character" w:styleId="ab">
    <w:name w:val="page number"/>
    <w:basedOn w:val="a0"/>
    <w:uiPriority w:val="99"/>
    <w:semiHidden/>
    <w:unhideWhenUsed/>
    <w:rsid w:val="00BC13F3"/>
  </w:style>
  <w:style w:type="character" w:styleId="ac">
    <w:name w:val="annotation reference"/>
    <w:basedOn w:val="a0"/>
    <w:uiPriority w:val="99"/>
    <w:semiHidden/>
    <w:unhideWhenUsed/>
    <w:rsid w:val="0021696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1696F"/>
    <w:rPr>
      <w:sz w:val="24"/>
      <w:szCs w:val="24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21696F"/>
    <w:rPr>
      <w:rFonts w:ascii="Times New Roman" w:hAnsi="Times New Roman" w:cs="Times New Roman"/>
      <w:sz w:val="24"/>
      <w:szCs w:val="24"/>
      <w:bdr w:val="n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96F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96F"/>
    <w:rPr>
      <w:rFonts w:ascii="Times New Roman" w:hAnsi="Times New Roman" w:cs="Times New Roman"/>
      <w:b/>
      <w:bCs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="Arial Unicode MS"/>
        <w:color w:val="000000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86"/>
    <w:rPr>
      <w:rFonts w:ascii="Times New Roman" w:hAnsi="Times New Roman" w:cs="Times New Roman"/>
      <w:sz w:val="2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1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1F"/>
    <w:rPr>
      <w:rFonts w:ascii="Lucida Grande CY" w:eastAsia="Arial Unicode MS" w:hAnsi="Lucida Grande CY" w:cs="Lucida Grande CY"/>
      <w:sz w:val="18"/>
      <w:szCs w:val="18"/>
      <w:bdr w:val="nil"/>
    </w:rPr>
  </w:style>
  <w:style w:type="paragraph" w:styleId="a5">
    <w:name w:val="List Paragraph"/>
    <w:basedOn w:val="a"/>
    <w:uiPriority w:val="34"/>
    <w:qFormat/>
    <w:rsid w:val="00044886"/>
    <w:pPr>
      <w:ind w:left="720"/>
      <w:contextualSpacing/>
    </w:pPr>
  </w:style>
  <w:style w:type="table" w:styleId="a6">
    <w:name w:val="Table Grid"/>
    <w:basedOn w:val="a1"/>
    <w:uiPriority w:val="39"/>
    <w:rsid w:val="00044886"/>
    <w:rPr>
      <w:rFonts w:eastAsia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13F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13F3"/>
    <w:rPr>
      <w:rFonts w:ascii="Times New Roman" w:hAnsi="Times New Roman" w:cs="Times New Roman"/>
      <w:sz w:val="20"/>
      <w:szCs w:val="20"/>
      <w:bdr w:val="nil"/>
    </w:rPr>
  </w:style>
  <w:style w:type="paragraph" w:styleId="a9">
    <w:name w:val="footer"/>
    <w:basedOn w:val="a"/>
    <w:link w:val="aa"/>
    <w:uiPriority w:val="99"/>
    <w:unhideWhenUsed/>
    <w:rsid w:val="00BC13F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13F3"/>
    <w:rPr>
      <w:rFonts w:ascii="Times New Roman" w:hAnsi="Times New Roman" w:cs="Times New Roman"/>
      <w:sz w:val="20"/>
      <w:szCs w:val="20"/>
      <w:bdr w:val="nil"/>
    </w:rPr>
  </w:style>
  <w:style w:type="character" w:styleId="ab">
    <w:name w:val="page number"/>
    <w:basedOn w:val="a0"/>
    <w:uiPriority w:val="99"/>
    <w:semiHidden/>
    <w:unhideWhenUsed/>
    <w:rsid w:val="00BC13F3"/>
  </w:style>
  <w:style w:type="character" w:styleId="ac">
    <w:name w:val="annotation reference"/>
    <w:basedOn w:val="a0"/>
    <w:uiPriority w:val="99"/>
    <w:semiHidden/>
    <w:unhideWhenUsed/>
    <w:rsid w:val="0021696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1696F"/>
    <w:rPr>
      <w:sz w:val="24"/>
      <w:szCs w:val="24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21696F"/>
    <w:rPr>
      <w:rFonts w:ascii="Times New Roman" w:hAnsi="Times New Roman" w:cs="Times New Roman"/>
      <w:sz w:val="24"/>
      <w:szCs w:val="24"/>
      <w:bdr w:val="n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96F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96F"/>
    <w:rPr>
      <w:rFonts w:ascii="Times New Roman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3082</Words>
  <Characters>17573</Characters>
  <Application>Microsoft Macintosh Word</Application>
  <DocSecurity>0</DocSecurity>
  <Lines>146</Lines>
  <Paragraphs>41</Paragraphs>
  <ScaleCrop>false</ScaleCrop>
  <Company/>
  <LinksUpToDate>false</LinksUpToDate>
  <CharactersWithSpaces>20614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Kostetskaya</dc:creator>
  <cp:keywords/>
  <dc:description/>
  <cp:lastModifiedBy>1</cp:lastModifiedBy>
  <cp:revision>4</cp:revision>
  <cp:lastPrinted>2016-02-12T08:01:00Z</cp:lastPrinted>
  <dcterms:created xsi:type="dcterms:W3CDTF">2016-02-12T09:12:00Z</dcterms:created>
  <dcterms:modified xsi:type="dcterms:W3CDTF">2016-02-17T10:01:00Z</dcterms:modified>
</cp:coreProperties>
</file>